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BC89F" w14:textId="42FC81D9" w:rsidR="006F01A9" w:rsidRDefault="26F7B7BF" w:rsidP="00EC2E1D">
      <w:pPr>
        <w:ind w:left="-567"/>
      </w:pPr>
      <w:r>
        <w:rPr>
          <w:noProof/>
        </w:rPr>
        <w:drawing>
          <wp:inline distT="0" distB="0" distL="0" distR="0" wp14:anchorId="39514E06" wp14:editId="4EA0DE64">
            <wp:extent cx="2402803" cy="2747940"/>
            <wp:effectExtent l="0" t="0" r="0" b="0"/>
            <wp:docPr id="13906673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04" cy="27584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FC6D94" w14:textId="77777777" w:rsidR="008C709A" w:rsidRDefault="008C709A" w:rsidP="006F01A9">
      <w:pPr>
        <w:spacing w:after="0" w:line="240" w:lineRule="auto"/>
        <w:jc w:val="center"/>
        <w:rPr>
          <w:b/>
          <w:sz w:val="28"/>
          <w:u w:val="single"/>
        </w:rPr>
      </w:pPr>
    </w:p>
    <w:p w14:paraId="5E4B92E4" w14:textId="77777777" w:rsidR="00B72528" w:rsidRPr="00F509B9" w:rsidRDefault="00B72528" w:rsidP="00EC2E1D">
      <w:pPr>
        <w:spacing w:after="0" w:line="240" w:lineRule="auto"/>
        <w:rPr>
          <w:rFonts w:ascii="Baskerville Old Face" w:hAnsi="Baskerville Old Face"/>
          <w:b/>
          <w:sz w:val="28"/>
          <w:u w:val="single"/>
        </w:rPr>
      </w:pPr>
    </w:p>
    <w:p w14:paraId="144F272C" w14:textId="6916FC52" w:rsidR="00D85B4F" w:rsidRPr="00EC2E1D" w:rsidRDefault="00D85B4F" w:rsidP="2DF11EA7">
      <w:pPr>
        <w:spacing w:after="200" w:line="276" w:lineRule="auto"/>
        <w:ind w:left="-426"/>
        <w:rPr>
          <w:rFonts w:eastAsiaTheme="minorEastAsia"/>
          <w:b/>
          <w:bCs/>
          <w:sz w:val="28"/>
          <w:szCs w:val="28"/>
          <w:lang w:val="en-US"/>
        </w:rPr>
      </w:pPr>
      <w:r w:rsidRPr="2DF11EA7">
        <w:rPr>
          <w:rFonts w:eastAsiaTheme="minorEastAsia"/>
          <w:b/>
          <w:bCs/>
          <w:sz w:val="28"/>
          <w:szCs w:val="28"/>
          <w:lang w:val="en-US"/>
        </w:rPr>
        <w:t>Buxlow School</w:t>
      </w:r>
    </w:p>
    <w:p w14:paraId="2E192EF7" w14:textId="2308493B" w:rsidR="00D85B4F" w:rsidRPr="00EC2E1D" w:rsidRDefault="001D2D33" w:rsidP="2DF11EA7">
      <w:pPr>
        <w:spacing w:after="200" w:line="276" w:lineRule="auto"/>
        <w:ind w:left="-426"/>
        <w:rPr>
          <w:rFonts w:eastAsiaTheme="minorEastAsia"/>
          <w:b/>
          <w:bCs/>
          <w:lang w:val="en-US"/>
        </w:rPr>
      </w:pPr>
      <w:r>
        <w:rPr>
          <w:rFonts w:eastAsiaTheme="minorEastAsia"/>
          <w:b/>
          <w:bCs/>
          <w:sz w:val="28"/>
          <w:szCs w:val="28"/>
          <w:lang w:val="en-US"/>
        </w:rPr>
        <w:t xml:space="preserve">Special Educational Needs and Disability (SEND) </w:t>
      </w:r>
      <w:r w:rsidR="00D85B4F" w:rsidRPr="2DF11EA7">
        <w:rPr>
          <w:rFonts w:eastAsiaTheme="minorEastAsia"/>
          <w:b/>
          <w:bCs/>
          <w:sz w:val="28"/>
          <w:szCs w:val="28"/>
          <w:lang w:val="en-US"/>
        </w:rPr>
        <w:t>Policy</w:t>
      </w:r>
      <w:r w:rsidR="00D85B4F">
        <w:br/>
      </w:r>
      <w:r w:rsidR="00F509B9" w:rsidRPr="2DF11EA7">
        <w:rPr>
          <w:rFonts w:eastAsiaTheme="minorEastAsia"/>
          <w:b/>
          <w:bCs/>
        </w:rPr>
        <w:t>September</w:t>
      </w:r>
      <w:r w:rsidR="00F67833" w:rsidRPr="2DF11EA7">
        <w:rPr>
          <w:rFonts w:eastAsiaTheme="minorEastAsia"/>
          <w:b/>
          <w:bCs/>
        </w:rPr>
        <w:t xml:space="preserve"> 202</w:t>
      </w:r>
      <w:r w:rsidR="3E2988CD" w:rsidRPr="2DF11EA7">
        <w:rPr>
          <w:rFonts w:eastAsiaTheme="minorEastAsia"/>
          <w:b/>
          <w:bCs/>
        </w:rPr>
        <w:t>5</w:t>
      </w:r>
    </w:p>
    <w:p w14:paraId="172B93B9" w14:textId="77777777" w:rsidR="00B72528" w:rsidRPr="00F509B9" w:rsidRDefault="00B72528" w:rsidP="006F01A9">
      <w:pPr>
        <w:spacing w:after="0" w:line="240" w:lineRule="auto"/>
        <w:jc w:val="center"/>
        <w:rPr>
          <w:rFonts w:ascii="Baskerville Old Face" w:hAnsi="Baskerville Old Face"/>
          <w:b/>
          <w:sz w:val="28"/>
          <w:u w:val="single"/>
        </w:rPr>
      </w:pPr>
    </w:p>
    <w:p w14:paraId="7DCED973" w14:textId="77777777" w:rsidR="00B72528" w:rsidRPr="00F509B9" w:rsidRDefault="00B72528" w:rsidP="006F01A9">
      <w:pPr>
        <w:spacing w:after="0" w:line="240" w:lineRule="auto"/>
        <w:jc w:val="center"/>
        <w:rPr>
          <w:rFonts w:ascii="Baskerville Old Face" w:hAnsi="Baskerville Old Face"/>
          <w:b/>
          <w:sz w:val="28"/>
          <w:u w:val="single"/>
        </w:rPr>
      </w:pPr>
    </w:p>
    <w:p w14:paraId="0379084B" w14:textId="77777777" w:rsidR="00B72528" w:rsidRPr="00F509B9" w:rsidRDefault="00B72528" w:rsidP="006F01A9">
      <w:pPr>
        <w:spacing w:after="0" w:line="240" w:lineRule="auto"/>
        <w:jc w:val="center"/>
        <w:rPr>
          <w:rFonts w:ascii="Baskerville Old Face" w:hAnsi="Baskerville Old Face"/>
          <w:b/>
          <w:sz w:val="28"/>
          <w:u w:val="single"/>
        </w:rPr>
      </w:pPr>
    </w:p>
    <w:p w14:paraId="553FCDEE" w14:textId="77777777" w:rsidR="00B72528" w:rsidRPr="00F509B9" w:rsidRDefault="00B72528" w:rsidP="006F01A9">
      <w:pPr>
        <w:spacing w:after="0" w:line="240" w:lineRule="auto"/>
        <w:jc w:val="center"/>
        <w:rPr>
          <w:rFonts w:ascii="Baskerville Old Face" w:hAnsi="Baskerville Old Face"/>
          <w:b/>
          <w:sz w:val="28"/>
          <w:u w:val="single"/>
        </w:rPr>
      </w:pPr>
    </w:p>
    <w:p w14:paraId="0BCC1581" w14:textId="77777777" w:rsidR="00B72528" w:rsidRPr="00F509B9" w:rsidRDefault="00B72528" w:rsidP="006F01A9">
      <w:pPr>
        <w:spacing w:after="0" w:line="240" w:lineRule="auto"/>
        <w:jc w:val="center"/>
        <w:rPr>
          <w:rFonts w:ascii="Baskerville Old Face" w:hAnsi="Baskerville Old Face"/>
          <w:b/>
          <w:sz w:val="28"/>
          <w:u w:val="single"/>
        </w:rPr>
      </w:pPr>
    </w:p>
    <w:p w14:paraId="2F61BAE0" w14:textId="77777777" w:rsidR="00B72528" w:rsidRPr="00F509B9" w:rsidRDefault="00B72528">
      <w:pPr>
        <w:rPr>
          <w:rFonts w:ascii="Baskerville Old Face" w:hAnsi="Baskerville Old Face"/>
          <w:b/>
        </w:rPr>
      </w:pPr>
    </w:p>
    <w:p w14:paraId="534AE204" w14:textId="77777777" w:rsidR="00B72528" w:rsidRPr="00F509B9" w:rsidRDefault="00B72528">
      <w:pPr>
        <w:rPr>
          <w:rFonts w:ascii="Baskerville Old Face" w:hAnsi="Baskerville Old Face"/>
          <w:b/>
        </w:rPr>
      </w:pPr>
    </w:p>
    <w:p w14:paraId="7ACD8798" w14:textId="77777777" w:rsidR="00B72528" w:rsidRPr="00F509B9" w:rsidRDefault="00B72528">
      <w:pPr>
        <w:rPr>
          <w:rFonts w:ascii="Baskerville Old Face" w:hAnsi="Baskerville Old Face"/>
          <w:b/>
        </w:rPr>
      </w:pPr>
    </w:p>
    <w:p w14:paraId="39D7D1BF" w14:textId="77777777" w:rsidR="00B72528" w:rsidRPr="00F509B9" w:rsidRDefault="00B72528">
      <w:pPr>
        <w:rPr>
          <w:rFonts w:ascii="Baskerville Old Face" w:hAnsi="Baskerville Old Face"/>
          <w:b/>
        </w:rPr>
      </w:pPr>
    </w:p>
    <w:p w14:paraId="27966C39" w14:textId="77777777" w:rsidR="00B72528" w:rsidRPr="00F509B9" w:rsidRDefault="00B72528">
      <w:pPr>
        <w:rPr>
          <w:rFonts w:ascii="Baskerville Old Face" w:hAnsi="Baskerville Old Face"/>
          <w:b/>
        </w:rPr>
      </w:pPr>
    </w:p>
    <w:p w14:paraId="50C28665" w14:textId="77777777" w:rsidR="00B72528" w:rsidRPr="00F509B9" w:rsidRDefault="00B72528">
      <w:pPr>
        <w:rPr>
          <w:rFonts w:ascii="Baskerville Old Face" w:hAnsi="Baskerville Old Face"/>
          <w:b/>
        </w:rPr>
      </w:pPr>
    </w:p>
    <w:p w14:paraId="51AAB9AA" w14:textId="77777777" w:rsidR="00B72528" w:rsidRPr="00F509B9" w:rsidRDefault="00B72528">
      <w:pPr>
        <w:rPr>
          <w:rFonts w:ascii="Baskerville Old Face" w:hAnsi="Baskerville Old Face"/>
          <w:b/>
        </w:rPr>
      </w:pPr>
    </w:p>
    <w:p w14:paraId="1DA19AF5" w14:textId="77777777" w:rsidR="00B72528" w:rsidRPr="00F509B9" w:rsidRDefault="00B72528">
      <w:pPr>
        <w:rPr>
          <w:rFonts w:ascii="Baskerville Old Face" w:hAnsi="Baskerville Old Face"/>
          <w:b/>
        </w:rPr>
      </w:pPr>
    </w:p>
    <w:p w14:paraId="5BC26791" w14:textId="77777777" w:rsidR="00B72528" w:rsidRPr="00F509B9" w:rsidRDefault="00B72528">
      <w:pPr>
        <w:rPr>
          <w:rFonts w:ascii="Baskerville Old Face" w:hAnsi="Baskerville Old Face"/>
          <w:b/>
        </w:rPr>
      </w:pPr>
    </w:p>
    <w:p w14:paraId="4C0C1937" w14:textId="77777777" w:rsidR="00B72528" w:rsidRPr="00F509B9" w:rsidRDefault="00B72528">
      <w:pPr>
        <w:rPr>
          <w:rFonts w:ascii="Baskerville Old Face" w:hAnsi="Baskerville Old Face"/>
          <w:b/>
        </w:rPr>
      </w:pPr>
    </w:p>
    <w:p w14:paraId="07303045" w14:textId="77777777" w:rsidR="00B72528" w:rsidRDefault="00B72528">
      <w:pPr>
        <w:rPr>
          <w:rFonts w:ascii="Baskerville Old Face" w:hAnsi="Baskerville Old Face"/>
          <w:b/>
        </w:rPr>
      </w:pPr>
    </w:p>
    <w:p w14:paraId="6B1F97CB" w14:textId="77777777" w:rsidR="00C1292C" w:rsidRDefault="00C1292C">
      <w:pPr>
        <w:rPr>
          <w:rFonts w:ascii="Baskerville Old Face" w:hAnsi="Baskerville Old Face"/>
          <w:b/>
        </w:rPr>
      </w:pPr>
    </w:p>
    <w:p w14:paraId="00502A6A" w14:textId="77777777" w:rsidR="00C1292C" w:rsidRDefault="00C1292C">
      <w:pPr>
        <w:rPr>
          <w:rFonts w:ascii="Baskerville Old Face" w:hAnsi="Baskerville Old Face"/>
          <w:b/>
        </w:rPr>
      </w:pPr>
    </w:p>
    <w:p w14:paraId="3E14FBD8" w14:textId="77777777" w:rsidR="00DD55CE" w:rsidRDefault="00DD55CE">
      <w:pPr>
        <w:rPr>
          <w:rFonts w:ascii="Baskerville Old Face" w:hAnsi="Baskerville Old Face"/>
          <w:b/>
        </w:rPr>
      </w:pPr>
    </w:p>
    <w:p w14:paraId="2FA42A22" w14:textId="77777777" w:rsidR="00DD55CE" w:rsidRDefault="00DD55CE">
      <w:pPr>
        <w:rPr>
          <w:rFonts w:ascii="Baskerville Old Face" w:hAnsi="Baskerville Old Face"/>
          <w:b/>
        </w:rPr>
      </w:pPr>
    </w:p>
    <w:p w14:paraId="0AD0D476" w14:textId="77777777" w:rsidR="00DD55CE" w:rsidRPr="00F509B9" w:rsidRDefault="00DD55CE">
      <w:pPr>
        <w:rPr>
          <w:rFonts w:ascii="Baskerville Old Face" w:hAnsi="Baskerville Old Face"/>
          <w:b/>
        </w:rPr>
      </w:pPr>
    </w:p>
    <w:p w14:paraId="6E416595" w14:textId="236FE1AB" w:rsidR="001D2D33" w:rsidRPr="00DA7966" w:rsidRDefault="009E2649" w:rsidP="00DA7966">
      <w:pPr>
        <w:pStyle w:val="ListParagraph"/>
        <w:numPr>
          <w:ilvl w:val="0"/>
          <w:numId w:val="28"/>
        </w:numPr>
        <w:rPr>
          <w:rFonts w:cstheme="minorHAnsi"/>
          <w:b/>
        </w:rPr>
      </w:pPr>
      <w:r w:rsidRPr="00DA7966">
        <w:rPr>
          <w:rFonts w:cstheme="minorHAnsi"/>
          <w:b/>
        </w:rPr>
        <w:lastRenderedPageBreak/>
        <w:t>Aims</w:t>
      </w:r>
    </w:p>
    <w:p w14:paraId="6E2DBCCB" w14:textId="5A211734" w:rsidR="009E2649" w:rsidRPr="00DA7966" w:rsidRDefault="009E2649" w:rsidP="009E2649">
      <w:pPr>
        <w:ind w:left="360"/>
        <w:rPr>
          <w:rFonts w:cstheme="minorHAnsi"/>
          <w:color w:val="333333"/>
        </w:rPr>
      </w:pPr>
      <w:r w:rsidRPr="00DA7966">
        <w:rPr>
          <w:rFonts w:cstheme="minorHAnsi"/>
          <w:color w:val="333333"/>
        </w:rPr>
        <w:t xml:space="preserve">At Buxlow School, we believe that every child deserves a learning environment where they are understood, respected, and celebrated. </w:t>
      </w:r>
    </w:p>
    <w:p w14:paraId="00C743A6" w14:textId="74516DD6" w:rsidR="009E2649" w:rsidRPr="00DA7966" w:rsidRDefault="009E2649" w:rsidP="00DA7966">
      <w:pPr>
        <w:pStyle w:val="NormalWeb"/>
        <w:ind w:firstLine="360"/>
        <w:rPr>
          <w:rFonts w:asciiTheme="minorHAnsi" w:hAnsiTheme="minorHAnsi" w:cstheme="minorHAnsi"/>
          <w:sz w:val="22"/>
          <w:szCs w:val="22"/>
        </w:rPr>
      </w:pPr>
      <w:r w:rsidRPr="00DA7966">
        <w:rPr>
          <w:rFonts w:asciiTheme="minorHAnsi" w:hAnsiTheme="minorHAnsi" w:cstheme="minorHAnsi"/>
          <w:sz w:val="22"/>
          <w:szCs w:val="22"/>
        </w:rPr>
        <w:t>W</w:t>
      </w:r>
      <w:r w:rsidRPr="00DA7966">
        <w:rPr>
          <w:rFonts w:asciiTheme="minorHAnsi" w:hAnsiTheme="minorHAnsi" w:cstheme="minorHAnsi"/>
          <w:sz w:val="22"/>
          <w:szCs w:val="22"/>
        </w:rPr>
        <w:t>e are dedicated to cultivating a school focused on fostering an environment where we:</w:t>
      </w:r>
    </w:p>
    <w:p w14:paraId="777AEAC7" w14:textId="008FC573" w:rsidR="009E2649" w:rsidRPr="00DA7966" w:rsidRDefault="009E2649" w:rsidP="009E2649">
      <w:pPr>
        <w:pStyle w:val="NormalWeb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DA7966">
        <w:rPr>
          <w:rFonts w:asciiTheme="minorHAnsi" w:hAnsiTheme="minorHAnsi" w:cstheme="minorHAnsi"/>
          <w:sz w:val="22"/>
          <w:szCs w:val="22"/>
        </w:rPr>
        <w:t xml:space="preserve">Honor and celebrate each </w:t>
      </w:r>
      <w:r w:rsidR="00DA7966">
        <w:rPr>
          <w:rFonts w:asciiTheme="minorHAnsi" w:hAnsiTheme="minorHAnsi" w:cstheme="minorHAnsi"/>
          <w:sz w:val="22"/>
          <w:szCs w:val="22"/>
        </w:rPr>
        <w:t>pupil</w:t>
      </w:r>
      <w:r w:rsidRPr="00DA7966">
        <w:rPr>
          <w:rFonts w:asciiTheme="minorHAnsi" w:hAnsiTheme="minorHAnsi" w:cstheme="minorHAnsi"/>
          <w:sz w:val="22"/>
          <w:szCs w:val="22"/>
        </w:rPr>
        <w:t>’s individuality, ensuring everyone feels valued.</w:t>
      </w:r>
    </w:p>
    <w:p w14:paraId="418DCC54" w14:textId="1DDB10BB" w:rsidR="009E2649" w:rsidRPr="00DA7966" w:rsidRDefault="009E2649" w:rsidP="009E2649">
      <w:pPr>
        <w:pStyle w:val="NormalWeb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DA7966">
        <w:rPr>
          <w:rFonts w:asciiTheme="minorHAnsi" w:hAnsiTheme="minorHAnsi" w:cstheme="minorHAnsi"/>
          <w:sz w:val="22"/>
          <w:szCs w:val="22"/>
        </w:rPr>
        <w:t xml:space="preserve">Build a supportive learning community that empowers every </w:t>
      </w:r>
      <w:r w:rsidR="00DA7966">
        <w:rPr>
          <w:rFonts w:asciiTheme="minorHAnsi" w:hAnsiTheme="minorHAnsi" w:cstheme="minorHAnsi"/>
          <w:sz w:val="22"/>
          <w:szCs w:val="22"/>
        </w:rPr>
        <w:t>pupil</w:t>
      </w:r>
      <w:r w:rsidRPr="00DA7966">
        <w:rPr>
          <w:rFonts w:asciiTheme="minorHAnsi" w:hAnsiTheme="minorHAnsi" w:cstheme="minorHAnsi"/>
          <w:sz w:val="22"/>
          <w:szCs w:val="22"/>
        </w:rPr>
        <w:t xml:space="preserve"> to reach their full potential.</w:t>
      </w:r>
    </w:p>
    <w:p w14:paraId="77E49771" w14:textId="3D9D3735" w:rsidR="009E2649" w:rsidRPr="00DA7966" w:rsidRDefault="009E2649" w:rsidP="009E2649">
      <w:pPr>
        <w:pStyle w:val="NormalWeb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DA7966">
        <w:rPr>
          <w:rFonts w:asciiTheme="minorHAnsi" w:hAnsiTheme="minorHAnsi" w:cstheme="minorHAnsi"/>
          <w:sz w:val="22"/>
          <w:szCs w:val="22"/>
        </w:rPr>
        <w:t xml:space="preserve">Collaborate to elevate the ambitions and expectations of our </w:t>
      </w:r>
      <w:r w:rsidR="00DA7966">
        <w:rPr>
          <w:rFonts w:asciiTheme="minorHAnsi" w:hAnsiTheme="minorHAnsi" w:cstheme="minorHAnsi"/>
          <w:sz w:val="22"/>
          <w:szCs w:val="22"/>
        </w:rPr>
        <w:t>pupils</w:t>
      </w:r>
      <w:r w:rsidRPr="00DA7966">
        <w:rPr>
          <w:rFonts w:asciiTheme="minorHAnsi" w:hAnsiTheme="minorHAnsi" w:cstheme="minorHAnsi"/>
          <w:sz w:val="22"/>
          <w:szCs w:val="22"/>
        </w:rPr>
        <w:t>.</w:t>
      </w:r>
    </w:p>
    <w:p w14:paraId="1792BD98" w14:textId="3C0CE804" w:rsidR="009E2649" w:rsidRPr="00DA7966" w:rsidRDefault="009E2649" w:rsidP="009E2649">
      <w:pPr>
        <w:pStyle w:val="NormalWeb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DA7966">
        <w:rPr>
          <w:rFonts w:asciiTheme="minorHAnsi" w:hAnsiTheme="minorHAnsi" w:cstheme="minorHAnsi"/>
          <w:sz w:val="22"/>
          <w:szCs w:val="22"/>
        </w:rPr>
        <w:t xml:space="preserve">Offer diverse and stimulating opportunities, alongside meaningful challenges, to inspire a lifelong love of learning and encourage </w:t>
      </w:r>
      <w:r w:rsidR="00DA7966">
        <w:rPr>
          <w:rFonts w:asciiTheme="minorHAnsi" w:hAnsiTheme="minorHAnsi" w:cstheme="minorHAnsi"/>
          <w:sz w:val="22"/>
          <w:szCs w:val="22"/>
        </w:rPr>
        <w:t>pupil</w:t>
      </w:r>
      <w:r w:rsidRPr="00DA7966">
        <w:rPr>
          <w:rFonts w:asciiTheme="minorHAnsi" w:hAnsiTheme="minorHAnsi" w:cstheme="minorHAnsi"/>
          <w:sz w:val="22"/>
          <w:szCs w:val="22"/>
        </w:rPr>
        <w:t>s to make positive contributions both in school and the wider community.</w:t>
      </w:r>
    </w:p>
    <w:p w14:paraId="7380274A" w14:textId="2E6EC090" w:rsidR="009E2649" w:rsidRPr="00DA7966" w:rsidRDefault="009E2649" w:rsidP="009E2649">
      <w:pPr>
        <w:pStyle w:val="NormalWeb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DA7966">
        <w:rPr>
          <w:rFonts w:asciiTheme="minorHAnsi" w:hAnsiTheme="minorHAnsi" w:cstheme="minorHAnsi"/>
          <w:sz w:val="22"/>
          <w:szCs w:val="22"/>
        </w:rPr>
        <w:t xml:space="preserve">Acknowledge and celebrate achievements across all aspects of our </w:t>
      </w:r>
      <w:r w:rsidR="00DA7966">
        <w:rPr>
          <w:rFonts w:asciiTheme="minorHAnsi" w:hAnsiTheme="minorHAnsi" w:cstheme="minorHAnsi"/>
          <w:sz w:val="22"/>
          <w:szCs w:val="22"/>
        </w:rPr>
        <w:t>pupil</w:t>
      </w:r>
      <w:r w:rsidRPr="00DA7966">
        <w:rPr>
          <w:rFonts w:asciiTheme="minorHAnsi" w:hAnsiTheme="minorHAnsi" w:cstheme="minorHAnsi"/>
          <w:sz w:val="22"/>
          <w:szCs w:val="22"/>
        </w:rPr>
        <w:t>' lives.</w:t>
      </w:r>
    </w:p>
    <w:p w14:paraId="014E289D" w14:textId="4CEE0AB0" w:rsidR="009E2649" w:rsidRPr="00DA7966" w:rsidRDefault="001D6B66" w:rsidP="00DA7966">
      <w:pPr>
        <w:pStyle w:val="NormalWeb"/>
        <w:ind w:firstLine="360"/>
        <w:rPr>
          <w:rFonts w:asciiTheme="minorHAnsi" w:hAnsiTheme="minorHAnsi" w:cstheme="minorHAnsi"/>
          <w:sz w:val="22"/>
          <w:szCs w:val="22"/>
        </w:rPr>
      </w:pPr>
      <w:r w:rsidRPr="00DA7966">
        <w:rPr>
          <w:rFonts w:asciiTheme="minorHAnsi" w:hAnsiTheme="minorHAnsi" w:cstheme="minorHAnsi"/>
          <w:sz w:val="22"/>
          <w:szCs w:val="22"/>
        </w:rPr>
        <w:t>How we</w:t>
      </w:r>
      <w:r w:rsidR="009E2649" w:rsidRPr="00DA7966">
        <w:rPr>
          <w:rFonts w:asciiTheme="minorHAnsi" w:hAnsiTheme="minorHAnsi" w:cstheme="minorHAnsi"/>
          <w:sz w:val="22"/>
          <w:szCs w:val="22"/>
        </w:rPr>
        <w:t xml:space="preserve"> will achieve these goals through:</w:t>
      </w:r>
    </w:p>
    <w:p w14:paraId="2E78C00A" w14:textId="6D5B3EE2" w:rsidR="009E2649" w:rsidRPr="00DA7966" w:rsidRDefault="009E2649" w:rsidP="009E2649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DA7966">
        <w:rPr>
          <w:rFonts w:asciiTheme="minorHAnsi" w:hAnsiTheme="minorHAnsi" w:cstheme="minorHAnsi"/>
          <w:sz w:val="22"/>
          <w:szCs w:val="22"/>
        </w:rPr>
        <w:t xml:space="preserve">Gaining a deep understanding of the </w:t>
      </w:r>
      <w:r w:rsidR="001D6B66" w:rsidRPr="00DA7966">
        <w:rPr>
          <w:rFonts w:asciiTheme="minorHAnsi" w:hAnsiTheme="minorHAnsi" w:cstheme="minorHAnsi"/>
          <w:sz w:val="22"/>
          <w:szCs w:val="22"/>
        </w:rPr>
        <w:t xml:space="preserve">needs, </w:t>
      </w:r>
      <w:r w:rsidRPr="00DA7966">
        <w:rPr>
          <w:rFonts w:asciiTheme="minorHAnsi" w:hAnsiTheme="minorHAnsi" w:cstheme="minorHAnsi"/>
          <w:sz w:val="22"/>
          <w:szCs w:val="22"/>
        </w:rPr>
        <w:t xml:space="preserve">aspirations and potential of each of our </w:t>
      </w:r>
      <w:r w:rsidR="00DA7966">
        <w:rPr>
          <w:rFonts w:asciiTheme="minorHAnsi" w:hAnsiTheme="minorHAnsi" w:cstheme="minorHAnsi"/>
          <w:sz w:val="22"/>
          <w:szCs w:val="22"/>
        </w:rPr>
        <w:t>pupils</w:t>
      </w:r>
      <w:r w:rsidRPr="00DA7966">
        <w:rPr>
          <w:rFonts w:asciiTheme="minorHAnsi" w:hAnsiTheme="minorHAnsi" w:cstheme="minorHAnsi"/>
          <w:sz w:val="22"/>
          <w:szCs w:val="22"/>
        </w:rPr>
        <w:t>.</w:t>
      </w:r>
    </w:p>
    <w:p w14:paraId="696C1187" w14:textId="300D0B8E" w:rsidR="009E2649" w:rsidRPr="00DA7966" w:rsidRDefault="009E2649" w:rsidP="009E2649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DA7966">
        <w:rPr>
          <w:rFonts w:asciiTheme="minorHAnsi" w:hAnsiTheme="minorHAnsi" w:cstheme="minorHAnsi"/>
          <w:sz w:val="22"/>
          <w:szCs w:val="22"/>
        </w:rPr>
        <w:t xml:space="preserve">Committing to the holistic development of our </w:t>
      </w:r>
      <w:r w:rsidR="00DA7966">
        <w:rPr>
          <w:rFonts w:asciiTheme="minorHAnsi" w:hAnsiTheme="minorHAnsi" w:cstheme="minorHAnsi"/>
          <w:sz w:val="22"/>
          <w:szCs w:val="22"/>
        </w:rPr>
        <w:t>pupil</w:t>
      </w:r>
      <w:r w:rsidRPr="00DA7966">
        <w:rPr>
          <w:rFonts w:asciiTheme="minorHAnsi" w:hAnsiTheme="minorHAnsi" w:cstheme="minorHAnsi"/>
          <w:sz w:val="22"/>
          <w:szCs w:val="22"/>
        </w:rPr>
        <w:t>s by offering high-quality educational provision.</w:t>
      </w:r>
    </w:p>
    <w:p w14:paraId="71E961D6" w14:textId="77777777" w:rsidR="009E2649" w:rsidRPr="00DA7966" w:rsidRDefault="009E2649" w:rsidP="009E2649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DA7966">
        <w:rPr>
          <w:rFonts w:asciiTheme="minorHAnsi" w:hAnsiTheme="minorHAnsi" w:cstheme="minorHAnsi"/>
          <w:sz w:val="22"/>
          <w:szCs w:val="22"/>
        </w:rPr>
        <w:t>Actively engaging parents and carers in their child’s learning journey to work together and maximize outcomes.</w:t>
      </w:r>
    </w:p>
    <w:p w14:paraId="215B4595" w14:textId="4B0C9DFC" w:rsidR="009E2649" w:rsidRPr="00DA7966" w:rsidRDefault="009E2649" w:rsidP="009E2649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DA7966">
        <w:rPr>
          <w:rFonts w:asciiTheme="minorHAnsi" w:hAnsiTheme="minorHAnsi" w:cstheme="minorHAnsi"/>
          <w:sz w:val="22"/>
          <w:szCs w:val="22"/>
        </w:rPr>
        <w:t xml:space="preserve">Collaborating with the multi-professional network and the wider team around the </w:t>
      </w:r>
      <w:r w:rsidR="00DA7966">
        <w:rPr>
          <w:rFonts w:asciiTheme="minorHAnsi" w:hAnsiTheme="minorHAnsi" w:cstheme="minorHAnsi"/>
          <w:sz w:val="22"/>
          <w:szCs w:val="22"/>
        </w:rPr>
        <w:t>pupil</w:t>
      </w:r>
      <w:r w:rsidRPr="00DA7966">
        <w:rPr>
          <w:rFonts w:asciiTheme="minorHAnsi" w:hAnsiTheme="minorHAnsi" w:cstheme="minorHAnsi"/>
          <w:sz w:val="22"/>
          <w:szCs w:val="22"/>
        </w:rPr>
        <w:t xml:space="preserve"> to regularly review and update </w:t>
      </w:r>
      <w:r w:rsidR="001D6B66" w:rsidRPr="00DA7966">
        <w:rPr>
          <w:rFonts w:asciiTheme="minorHAnsi" w:hAnsiTheme="minorHAnsi" w:cstheme="minorHAnsi"/>
          <w:sz w:val="22"/>
          <w:szCs w:val="22"/>
        </w:rPr>
        <w:t>Individual Education</w:t>
      </w:r>
      <w:r w:rsidRPr="00DA7966">
        <w:rPr>
          <w:rFonts w:asciiTheme="minorHAnsi" w:hAnsiTheme="minorHAnsi" w:cstheme="minorHAnsi"/>
          <w:sz w:val="22"/>
          <w:szCs w:val="22"/>
        </w:rPr>
        <w:t xml:space="preserve"> Plans (</w:t>
      </w:r>
      <w:r w:rsidR="001D6B66" w:rsidRPr="00DA7966">
        <w:rPr>
          <w:rFonts w:asciiTheme="minorHAnsi" w:hAnsiTheme="minorHAnsi" w:cstheme="minorHAnsi"/>
          <w:sz w:val="22"/>
          <w:szCs w:val="22"/>
        </w:rPr>
        <w:t>IEP</w:t>
      </w:r>
      <w:r w:rsidRPr="00DA7966">
        <w:rPr>
          <w:rFonts w:asciiTheme="minorHAnsi" w:hAnsiTheme="minorHAnsi" w:cstheme="minorHAnsi"/>
          <w:sz w:val="22"/>
          <w:szCs w:val="22"/>
        </w:rPr>
        <w:t>s), strategies,</w:t>
      </w:r>
      <w:r w:rsidR="001D6B66" w:rsidRPr="00DA7966">
        <w:rPr>
          <w:rFonts w:asciiTheme="minorHAnsi" w:hAnsiTheme="minorHAnsi" w:cstheme="minorHAnsi"/>
          <w:sz w:val="22"/>
          <w:szCs w:val="22"/>
        </w:rPr>
        <w:t xml:space="preserve"> interventions</w:t>
      </w:r>
      <w:r w:rsidRPr="00DA7966">
        <w:rPr>
          <w:rFonts w:asciiTheme="minorHAnsi" w:hAnsiTheme="minorHAnsi" w:cstheme="minorHAnsi"/>
          <w:sz w:val="22"/>
          <w:szCs w:val="22"/>
        </w:rPr>
        <w:t xml:space="preserve"> and support.</w:t>
      </w:r>
    </w:p>
    <w:p w14:paraId="45891BE7" w14:textId="186DE468" w:rsidR="009E2649" w:rsidRPr="00DA7966" w:rsidRDefault="009E2649" w:rsidP="009E2649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DA7966">
        <w:rPr>
          <w:rFonts w:asciiTheme="minorHAnsi" w:hAnsiTheme="minorHAnsi" w:cstheme="minorHAnsi"/>
          <w:sz w:val="22"/>
          <w:szCs w:val="22"/>
        </w:rPr>
        <w:t xml:space="preserve">Partnering with the team around the </w:t>
      </w:r>
      <w:r w:rsidR="00DA7966">
        <w:rPr>
          <w:rFonts w:asciiTheme="minorHAnsi" w:hAnsiTheme="minorHAnsi" w:cstheme="minorHAnsi"/>
          <w:sz w:val="22"/>
          <w:szCs w:val="22"/>
        </w:rPr>
        <w:t>pupil</w:t>
      </w:r>
      <w:r w:rsidRPr="00DA7966">
        <w:rPr>
          <w:rFonts w:asciiTheme="minorHAnsi" w:hAnsiTheme="minorHAnsi" w:cstheme="minorHAnsi"/>
          <w:sz w:val="22"/>
          <w:szCs w:val="22"/>
        </w:rPr>
        <w:t xml:space="preserve"> (including parents) to ensure the Education, Health, and Care Plan (EHCP) accurately reflects current needs, with clear short</w:t>
      </w:r>
      <w:r w:rsidR="00DA7966">
        <w:rPr>
          <w:rFonts w:asciiTheme="minorHAnsi" w:hAnsiTheme="minorHAnsi" w:cstheme="minorHAnsi"/>
          <w:sz w:val="22"/>
          <w:szCs w:val="22"/>
        </w:rPr>
        <w:t xml:space="preserve">-term </w:t>
      </w:r>
      <w:r w:rsidRPr="00DA7966">
        <w:rPr>
          <w:rFonts w:asciiTheme="minorHAnsi" w:hAnsiTheme="minorHAnsi" w:cstheme="minorHAnsi"/>
          <w:sz w:val="22"/>
          <w:szCs w:val="22"/>
        </w:rPr>
        <w:t>and long-term planning through the annual review process.</w:t>
      </w:r>
    </w:p>
    <w:p w14:paraId="38003E4A" w14:textId="4564909C" w:rsidR="009E2649" w:rsidRPr="00DA7966" w:rsidRDefault="009E2649" w:rsidP="009E2649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DA7966">
        <w:rPr>
          <w:rFonts w:asciiTheme="minorHAnsi" w:hAnsiTheme="minorHAnsi" w:cstheme="minorHAnsi"/>
          <w:sz w:val="22"/>
          <w:szCs w:val="22"/>
        </w:rPr>
        <w:t xml:space="preserve">Continuously reviewing the curriculum and resources to ensure they meet the evolving needs of our </w:t>
      </w:r>
      <w:r w:rsidR="00DA7966">
        <w:rPr>
          <w:rFonts w:asciiTheme="minorHAnsi" w:hAnsiTheme="minorHAnsi" w:cstheme="minorHAnsi"/>
          <w:sz w:val="22"/>
          <w:szCs w:val="22"/>
        </w:rPr>
        <w:t>pupils</w:t>
      </w:r>
      <w:r w:rsidRPr="00DA7966">
        <w:rPr>
          <w:rFonts w:asciiTheme="minorHAnsi" w:hAnsiTheme="minorHAnsi" w:cstheme="minorHAnsi"/>
          <w:sz w:val="22"/>
          <w:szCs w:val="22"/>
        </w:rPr>
        <w:t>, providing the right balance of support and challenge.</w:t>
      </w:r>
    </w:p>
    <w:p w14:paraId="7C6280C2" w14:textId="32BE7D69" w:rsidR="009E2649" w:rsidRPr="00DA7966" w:rsidRDefault="001D6B66" w:rsidP="009E2649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DA7966">
        <w:rPr>
          <w:rFonts w:asciiTheme="minorHAnsi" w:hAnsiTheme="minorHAnsi" w:cstheme="minorHAnsi"/>
          <w:sz w:val="22"/>
          <w:szCs w:val="22"/>
        </w:rPr>
        <w:t>Engaging in</w:t>
      </w:r>
      <w:r w:rsidR="009E2649" w:rsidRPr="00DA7966">
        <w:rPr>
          <w:rFonts w:asciiTheme="minorHAnsi" w:hAnsiTheme="minorHAnsi" w:cstheme="minorHAnsi"/>
          <w:sz w:val="22"/>
          <w:szCs w:val="22"/>
        </w:rPr>
        <w:t xml:space="preserve"> professional </w:t>
      </w:r>
      <w:r w:rsidR="00DA7966">
        <w:rPr>
          <w:rFonts w:asciiTheme="minorHAnsi" w:hAnsiTheme="minorHAnsi" w:cstheme="minorHAnsi"/>
          <w:sz w:val="22"/>
          <w:szCs w:val="22"/>
        </w:rPr>
        <w:t xml:space="preserve">development </w:t>
      </w:r>
      <w:r w:rsidR="009E2649" w:rsidRPr="00DA7966">
        <w:rPr>
          <w:rFonts w:asciiTheme="minorHAnsi" w:hAnsiTheme="minorHAnsi" w:cstheme="minorHAnsi"/>
          <w:sz w:val="22"/>
          <w:szCs w:val="22"/>
        </w:rPr>
        <w:t xml:space="preserve">to enhance staff expertise in special educational needs (SEN), promoting awareness, and refining skills to meet the diverse needs of all </w:t>
      </w:r>
      <w:r w:rsidR="00DA7966">
        <w:rPr>
          <w:rFonts w:asciiTheme="minorHAnsi" w:hAnsiTheme="minorHAnsi" w:cstheme="minorHAnsi"/>
          <w:sz w:val="22"/>
          <w:szCs w:val="22"/>
        </w:rPr>
        <w:t>pupils</w:t>
      </w:r>
      <w:r w:rsidR="009E2649" w:rsidRPr="00DA7966">
        <w:rPr>
          <w:rFonts w:asciiTheme="minorHAnsi" w:hAnsiTheme="minorHAnsi" w:cstheme="minorHAnsi"/>
          <w:sz w:val="22"/>
          <w:szCs w:val="22"/>
        </w:rPr>
        <w:t>.</w:t>
      </w:r>
    </w:p>
    <w:p w14:paraId="27239675" w14:textId="165A6A8F" w:rsidR="00C030FB" w:rsidRPr="00DA7966" w:rsidRDefault="00C030FB" w:rsidP="00DA7966">
      <w:pPr>
        <w:pStyle w:val="ListParagraph"/>
        <w:numPr>
          <w:ilvl w:val="0"/>
          <w:numId w:val="28"/>
        </w:numPr>
        <w:rPr>
          <w:b/>
          <w:bCs/>
        </w:rPr>
      </w:pPr>
      <w:r w:rsidRPr="00DA7966">
        <w:rPr>
          <w:b/>
          <w:bCs/>
        </w:rPr>
        <w:t xml:space="preserve">Definition of </w:t>
      </w:r>
      <w:bookmarkStart w:id="0" w:name="_Hlk209274077"/>
      <w:r w:rsidRPr="00DA7966">
        <w:rPr>
          <w:b/>
          <w:bCs/>
        </w:rPr>
        <w:t xml:space="preserve">Special Educational Needs and Disability (SEND) </w:t>
      </w:r>
      <w:bookmarkEnd w:id="0"/>
    </w:p>
    <w:p w14:paraId="5ED20A82" w14:textId="77777777" w:rsidR="00C030FB" w:rsidRPr="00C030FB" w:rsidRDefault="00C030FB" w:rsidP="001F5E6E">
      <w:pPr>
        <w:pStyle w:val="ListParagraph"/>
        <w:rPr>
          <w:b/>
          <w:bCs/>
        </w:rPr>
      </w:pPr>
    </w:p>
    <w:p w14:paraId="0F0D7E90" w14:textId="77777777" w:rsidR="00C030FB" w:rsidRPr="00C030FB" w:rsidRDefault="00C030FB" w:rsidP="00DA7966">
      <w:pPr>
        <w:ind w:left="720"/>
        <w:rPr>
          <w:b/>
          <w:bCs/>
        </w:rPr>
      </w:pPr>
      <w:r w:rsidRPr="00C030FB">
        <w:rPr>
          <w:b/>
          <w:bCs/>
        </w:rPr>
        <w:t>Special Educational needs</w:t>
      </w:r>
    </w:p>
    <w:p w14:paraId="35A67ECC" w14:textId="77777777" w:rsidR="00C030FB" w:rsidRDefault="00C030FB" w:rsidP="00DA7966">
      <w:pPr>
        <w:ind w:left="720"/>
      </w:pPr>
      <w:r>
        <w:t xml:space="preserve">The formal definition given in the SEND code of practice (2015) states: </w:t>
      </w:r>
    </w:p>
    <w:p w14:paraId="50893EE8" w14:textId="5C2E9862" w:rsidR="00C030FB" w:rsidRDefault="00C030FB" w:rsidP="00C030FB">
      <w:pPr>
        <w:ind w:left="720"/>
      </w:pPr>
      <w:r>
        <w:t>A child has SEND if they have a learning difficulty or disability which cal</w:t>
      </w:r>
      <w:r>
        <w:t>l</w:t>
      </w:r>
      <w:r>
        <w:t>s for special educational provisio</w:t>
      </w:r>
      <w:r>
        <w:t xml:space="preserve">n </w:t>
      </w:r>
      <w:r>
        <w:t xml:space="preserve">to be made for them. They have a learning difficulty or disability if they have: </w:t>
      </w:r>
    </w:p>
    <w:p w14:paraId="3A2D931E" w14:textId="56762782" w:rsidR="00C030FB" w:rsidRDefault="00C030FB" w:rsidP="00C030FB">
      <w:pPr>
        <w:ind w:left="720"/>
      </w:pPr>
      <w:r>
        <w:t xml:space="preserve">A significantly greater difficulty in learning than </w:t>
      </w:r>
      <w:proofErr w:type="gramStart"/>
      <w:r>
        <w:t>the majority of</w:t>
      </w:r>
      <w:proofErr w:type="gramEnd"/>
      <w:r>
        <w:t xml:space="preserve"> others of the same age, or a disability which prevents or hinders him or her from making use of facilities of a kind </w:t>
      </w:r>
      <w:r>
        <w:t>generally</w:t>
      </w:r>
      <w:r>
        <w:t xml:space="preserve"> provided for others of the same age in mainstream schools. </w:t>
      </w:r>
    </w:p>
    <w:p w14:paraId="05DAC786" w14:textId="31BCEAD8" w:rsidR="00C030FB" w:rsidRDefault="00C030FB" w:rsidP="00C030FB">
      <w:pPr>
        <w:ind w:left="720"/>
      </w:pPr>
      <w:r>
        <w:t xml:space="preserve">Special educational provision means educational or training provision that is additional to, or differ from, that made </w:t>
      </w:r>
      <w:r>
        <w:t>generally</w:t>
      </w:r>
      <w:r>
        <w:t xml:space="preserve"> for others of the same age in a mainstream setting.</w:t>
      </w:r>
    </w:p>
    <w:p w14:paraId="2EC44E14" w14:textId="77777777" w:rsidR="00C030FB" w:rsidRDefault="00C030FB" w:rsidP="00DA7966">
      <w:pPr>
        <w:ind w:firstLine="720"/>
      </w:pPr>
      <w:r w:rsidRPr="00C030FB">
        <w:rPr>
          <w:b/>
          <w:bCs/>
        </w:rPr>
        <w:t>Disability</w:t>
      </w:r>
      <w:r>
        <w:t xml:space="preserve"> </w:t>
      </w:r>
    </w:p>
    <w:p w14:paraId="1F502C8C" w14:textId="77777777" w:rsidR="00C030FB" w:rsidRDefault="00C030FB" w:rsidP="00DA7966">
      <w:pPr>
        <w:ind w:left="720"/>
      </w:pPr>
      <w:r>
        <w:t xml:space="preserve">Disability is the experience of any condition that makes it more difficult for a person to do certain activities or have equitable access within a given society. </w:t>
      </w:r>
    </w:p>
    <w:p w14:paraId="0FEB29E1" w14:textId="3D9D297A" w:rsidR="00C030FB" w:rsidRDefault="00C030FB" w:rsidP="00DA7966">
      <w:pPr>
        <w:ind w:left="720"/>
      </w:pPr>
      <w:r>
        <w:t xml:space="preserve">Barriers can be </w:t>
      </w:r>
      <w:proofErr w:type="gramStart"/>
      <w:r>
        <w:t>physical</w:t>
      </w:r>
      <w:proofErr w:type="gramEnd"/>
      <w:r>
        <w:t xml:space="preserve"> or they can be caused by people's attitudes to difference; stereotypical beliefs that non-disabled people have about disabled people such as assuming disabled people can't do certain things. Removing these barriers creates equality and offers disabled people more independence, choice and control.</w:t>
      </w:r>
    </w:p>
    <w:p w14:paraId="4ADAD22B" w14:textId="77777777" w:rsidR="00C030FB" w:rsidRDefault="00C030FB" w:rsidP="00C030FB">
      <w:pPr>
        <w:ind w:left="720"/>
      </w:pPr>
    </w:p>
    <w:p w14:paraId="4DB171D5" w14:textId="47FA8950" w:rsidR="00C030FB" w:rsidRPr="00C030FB" w:rsidRDefault="00C030FB" w:rsidP="00DA7966">
      <w:pPr>
        <w:ind w:firstLine="720"/>
        <w:rPr>
          <w:b/>
          <w:bCs/>
        </w:rPr>
      </w:pPr>
      <w:r w:rsidRPr="00C030FB">
        <w:rPr>
          <w:b/>
          <w:bCs/>
        </w:rPr>
        <w:t>The 4 areas of need</w:t>
      </w:r>
    </w:p>
    <w:p w14:paraId="6FD8C7A3" w14:textId="77777777" w:rsidR="002117BF" w:rsidRDefault="002117BF" w:rsidP="00DA7966">
      <w:pPr>
        <w:ind w:left="720"/>
      </w:pPr>
      <w:r>
        <w:t xml:space="preserve">Buxlow School </w:t>
      </w:r>
      <w:r>
        <w:t>fol</w:t>
      </w:r>
      <w:r>
        <w:t>l</w:t>
      </w:r>
      <w:r>
        <w:t xml:space="preserve">ows the guidance contained in the SEND Code of Practice (2015) which refers to four broad areas of need: </w:t>
      </w:r>
    </w:p>
    <w:p w14:paraId="58061504" w14:textId="77777777" w:rsidR="002117BF" w:rsidRDefault="002117BF" w:rsidP="00DA7966">
      <w:pPr>
        <w:ind w:firstLine="720"/>
      </w:pPr>
      <w:r>
        <w:t xml:space="preserve">● Communication and Interaction </w:t>
      </w:r>
    </w:p>
    <w:p w14:paraId="379B81A5" w14:textId="77777777" w:rsidR="002117BF" w:rsidRDefault="002117BF" w:rsidP="00DA7966">
      <w:pPr>
        <w:ind w:firstLine="720"/>
      </w:pPr>
      <w:r>
        <w:t xml:space="preserve">● Cognition and Learning </w:t>
      </w:r>
    </w:p>
    <w:p w14:paraId="42547631" w14:textId="77777777" w:rsidR="002117BF" w:rsidRDefault="002117BF" w:rsidP="00DA7966">
      <w:pPr>
        <w:ind w:firstLine="720"/>
      </w:pPr>
      <w:r>
        <w:t xml:space="preserve">● Social, Emotional and Mental health </w:t>
      </w:r>
    </w:p>
    <w:p w14:paraId="6BA18896" w14:textId="63C9732D" w:rsidR="00C030FB" w:rsidRDefault="002117BF" w:rsidP="00DA7966">
      <w:pPr>
        <w:ind w:firstLine="720"/>
      </w:pPr>
      <w:r>
        <w:t>● Sensory and Physical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2268"/>
        <w:gridCol w:w="2268"/>
        <w:gridCol w:w="2262"/>
      </w:tblGrid>
      <w:tr w:rsidR="00FD4565" w14:paraId="0313CAFA" w14:textId="77777777" w:rsidTr="00FD4565">
        <w:tc>
          <w:tcPr>
            <w:tcW w:w="2126" w:type="dxa"/>
          </w:tcPr>
          <w:p w14:paraId="5885EA36" w14:textId="17809855" w:rsidR="00FD4565" w:rsidRDefault="00FD4565" w:rsidP="00DA7966">
            <w:r>
              <w:t>Communication and Interaction</w:t>
            </w:r>
          </w:p>
        </w:tc>
        <w:tc>
          <w:tcPr>
            <w:tcW w:w="2268" w:type="dxa"/>
          </w:tcPr>
          <w:p w14:paraId="2476F5B5" w14:textId="1BB42D05" w:rsidR="00FD4565" w:rsidRDefault="00FD4565" w:rsidP="00DA7966">
            <w:r>
              <w:t>Cognition and learning</w:t>
            </w:r>
          </w:p>
        </w:tc>
        <w:tc>
          <w:tcPr>
            <w:tcW w:w="2268" w:type="dxa"/>
          </w:tcPr>
          <w:p w14:paraId="02BCDD4D" w14:textId="4AED931C" w:rsidR="00FD4565" w:rsidRDefault="00FD4565" w:rsidP="00DA7966">
            <w:r>
              <w:t>Social, emotional and mental health</w:t>
            </w:r>
          </w:p>
        </w:tc>
        <w:tc>
          <w:tcPr>
            <w:tcW w:w="2262" w:type="dxa"/>
          </w:tcPr>
          <w:p w14:paraId="22827D76" w14:textId="40FDAE87" w:rsidR="00FD4565" w:rsidRDefault="00FD4565" w:rsidP="00DA7966">
            <w:r>
              <w:t>Sensory and Physical</w:t>
            </w:r>
          </w:p>
        </w:tc>
      </w:tr>
      <w:tr w:rsidR="00FD4565" w14:paraId="1527C9A9" w14:textId="77777777" w:rsidTr="00FD4565">
        <w:tc>
          <w:tcPr>
            <w:tcW w:w="2126" w:type="dxa"/>
          </w:tcPr>
          <w:p w14:paraId="41FB7516" w14:textId="79B11E34" w:rsidR="00FD4565" w:rsidRDefault="00FD4565" w:rsidP="00FD4565">
            <w:r>
              <w:t xml:space="preserve">This includes </w:t>
            </w:r>
            <w:r>
              <w:t>pupil</w:t>
            </w:r>
            <w:r>
              <w:t xml:space="preserve">s with speech, </w:t>
            </w:r>
            <w:r>
              <w:t>l</w:t>
            </w:r>
            <w:r>
              <w:t>anguage and communication delays or</w:t>
            </w:r>
            <w:r>
              <w:t xml:space="preserve"> </w:t>
            </w:r>
            <w:r>
              <w:t xml:space="preserve">difficulties, as well as processing difficulties. These </w:t>
            </w:r>
            <w:r>
              <w:t>c</w:t>
            </w:r>
            <w:r>
              <w:t xml:space="preserve">an affect how </w:t>
            </w:r>
            <w:r>
              <w:t>pupil</w:t>
            </w:r>
            <w:r>
              <w:t>s</w:t>
            </w:r>
          </w:p>
          <w:p w14:paraId="66C79991" w14:textId="4032DB90" w:rsidR="00FD4565" w:rsidRDefault="00FD4565" w:rsidP="00FD4565">
            <w:r>
              <w:t xml:space="preserve">understand and use language. </w:t>
            </w:r>
            <w:r>
              <w:t>Pupils</w:t>
            </w:r>
            <w:r>
              <w:t xml:space="preserve"> may have difficulty expressing what they</w:t>
            </w:r>
          </w:p>
          <w:p w14:paraId="51FD9477" w14:textId="504FF891" w:rsidR="00FD4565" w:rsidRDefault="00FD4565" w:rsidP="00FD4565">
            <w:r>
              <w:t xml:space="preserve">want to or </w:t>
            </w:r>
            <w:r>
              <w:t>un</w:t>
            </w:r>
            <w:r>
              <w:t xml:space="preserve">derstanding what is being shared with them. </w:t>
            </w:r>
            <w:r>
              <w:t>Pupil</w:t>
            </w:r>
            <w:r>
              <w:t>s will also have</w:t>
            </w:r>
            <w:r>
              <w:t xml:space="preserve"> </w:t>
            </w:r>
            <w:r>
              <w:t xml:space="preserve">different communication styles or </w:t>
            </w:r>
            <w:r>
              <w:t>p</w:t>
            </w:r>
            <w:r>
              <w:t xml:space="preserve">references. </w:t>
            </w:r>
          </w:p>
          <w:p w14:paraId="295E784B" w14:textId="6DAE2082" w:rsidR="00FD4565" w:rsidRDefault="00FD4565" w:rsidP="00FD4565"/>
        </w:tc>
        <w:tc>
          <w:tcPr>
            <w:tcW w:w="2268" w:type="dxa"/>
          </w:tcPr>
          <w:p w14:paraId="1337DE58" w14:textId="0A88DF87" w:rsidR="00FD4565" w:rsidRDefault="00FD4565" w:rsidP="00FD4565">
            <w:r>
              <w:t xml:space="preserve">We recognise that </w:t>
            </w:r>
            <w:r>
              <w:t>pupil</w:t>
            </w:r>
            <w:r>
              <w:t xml:space="preserve">s will earn at their own pace. Some of our </w:t>
            </w:r>
            <w:r>
              <w:t>pupil</w:t>
            </w:r>
            <w:r>
              <w:t>s will</w:t>
            </w:r>
          </w:p>
          <w:p w14:paraId="45BDCC46" w14:textId="7658E363" w:rsidR="00FD4565" w:rsidRDefault="00FD4565" w:rsidP="00FD4565">
            <w:r>
              <w:t xml:space="preserve">have mild or moderate learning difficulties, and others will have a </w:t>
            </w:r>
            <w:r>
              <w:t xml:space="preserve">specific </w:t>
            </w:r>
            <w:r>
              <w:t>learning difficulty</w:t>
            </w:r>
            <w:r>
              <w:t xml:space="preserve"> </w:t>
            </w:r>
            <w:r>
              <w:t>(</w:t>
            </w:r>
            <w:proofErr w:type="spellStart"/>
            <w:r>
              <w:t>SpLD</w:t>
            </w:r>
            <w:proofErr w:type="spellEnd"/>
            <w:r>
              <w:t>), including dyslexia, dyscalculia and dyspraxia</w:t>
            </w:r>
            <w:r>
              <w:t>.</w:t>
            </w:r>
            <w:r>
              <w:t xml:space="preserve"> Cognition</w:t>
            </w:r>
          </w:p>
          <w:p w14:paraId="1D52627D" w14:textId="77777777" w:rsidR="00FD4565" w:rsidRDefault="00FD4565" w:rsidP="00FD4565">
            <w:r>
              <w:t>and learning needs may encompass much of the curriculum including reading,</w:t>
            </w:r>
          </w:p>
          <w:p w14:paraId="7C990CB4" w14:textId="77777777" w:rsidR="00FD4565" w:rsidRDefault="00FD4565" w:rsidP="00FD4565">
            <w:r>
              <w:t>writing, spelling, comprehension, processing difficulties, working memory and</w:t>
            </w:r>
          </w:p>
          <w:p w14:paraId="283993D1" w14:textId="5985A006" w:rsidR="00FD4565" w:rsidRDefault="00FD4565" w:rsidP="00FD4565">
            <w:r>
              <w:t xml:space="preserve">other types of </w:t>
            </w:r>
            <w:r>
              <w:t>e</w:t>
            </w:r>
            <w:r>
              <w:t>xecutive function difficulties.</w:t>
            </w:r>
          </w:p>
        </w:tc>
        <w:tc>
          <w:tcPr>
            <w:tcW w:w="2268" w:type="dxa"/>
          </w:tcPr>
          <w:p w14:paraId="74398AF2" w14:textId="4C04B567" w:rsidR="00FD4565" w:rsidRDefault="00FD4565" w:rsidP="00FD4565">
            <w:bookmarkStart w:id="1" w:name="_Hlk209275480"/>
            <w:r>
              <w:t xml:space="preserve">Many </w:t>
            </w:r>
            <w:r>
              <w:t>of our pupils</w:t>
            </w:r>
            <w:r>
              <w:t xml:space="preserve"> may experience difficulties in understanding and</w:t>
            </w:r>
          </w:p>
          <w:p w14:paraId="5E9466DE" w14:textId="77777777" w:rsidR="00FD4565" w:rsidRDefault="00FD4565" w:rsidP="00FD4565">
            <w:r>
              <w:t>managing their emotions, which can make it challenging for them to build and</w:t>
            </w:r>
          </w:p>
          <w:p w14:paraId="7E3B3447" w14:textId="77777777" w:rsidR="00FD4565" w:rsidRDefault="00FD4565" w:rsidP="00FD4565">
            <w:r>
              <w:t>maintain relationships with both peers and adults. These emotional and social</w:t>
            </w:r>
          </w:p>
          <w:p w14:paraId="40517BA2" w14:textId="77777777" w:rsidR="00FD4565" w:rsidRDefault="00FD4565" w:rsidP="00FD4565">
            <w:r>
              <w:t>challenges often lead to feelings of anxiety, fear, or being misunderstood.</w:t>
            </w:r>
          </w:p>
          <w:p w14:paraId="1100C8CD" w14:textId="02323BF2" w:rsidR="00FD4565" w:rsidRDefault="00FD4565" w:rsidP="00FD4565">
            <w:r>
              <w:t>W</w:t>
            </w:r>
            <w:r>
              <w:t>e understand that all behaviour is communication and caused by a</w:t>
            </w:r>
          </w:p>
          <w:p w14:paraId="662416DE" w14:textId="77777777" w:rsidR="00FD4565" w:rsidRDefault="00FD4565" w:rsidP="00FD4565">
            <w:r>
              <w:t>number of factors, including but not exhaustive to, sensory overload, responses to</w:t>
            </w:r>
          </w:p>
          <w:p w14:paraId="118E3DE9" w14:textId="77777777" w:rsidR="00FD4565" w:rsidRDefault="00FD4565" w:rsidP="00FD4565">
            <w:r>
              <w:t>trauma or attachment difficulties, frustration from speech and communication</w:t>
            </w:r>
          </w:p>
          <w:p w14:paraId="43E876BE" w14:textId="18E9BF68" w:rsidR="00FD4565" w:rsidRDefault="00FD4565" w:rsidP="00FD4565">
            <w:r>
              <w:t>barriers and underlying mental health problems.</w:t>
            </w:r>
            <w:bookmarkEnd w:id="1"/>
          </w:p>
        </w:tc>
        <w:tc>
          <w:tcPr>
            <w:tcW w:w="2262" w:type="dxa"/>
          </w:tcPr>
          <w:p w14:paraId="7C74CFCF" w14:textId="4BE03E0B" w:rsidR="00FD4565" w:rsidRDefault="00FD4565" w:rsidP="00FD4565">
            <w:r>
              <w:t>Pupil</w:t>
            </w:r>
            <w:r>
              <w:t>s with sensory needs may experience challenges related to vision or</w:t>
            </w:r>
            <w:r>
              <w:t xml:space="preserve"> </w:t>
            </w:r>
            <w:r>
              <w:t>hearing impairments, as well as difficulties with sensory processing, which affect</w:t>
            </w:r>
            <w:r>
              <w:t xml:space="preserve"> </w:t>
            </w:r>
            <w:r>
              <w:t>how they interpret and interact with the world around them. These sensory</w:t>
            </w:r>
          </w:p>
          <w:p w14:paraId="2855327C" w14:textId="77777777" w:rsidR="00FD4565" w:rsidRDefault="00FD4565" w:rsidP="00FD4565">
            <w:r>
              <w:t>processing difficulties can influence how they perceive and respond to sensory</w:t>
            </w:r>
          </w:p>
          <w:p w14:paraId="677E8ED8" w14:textId="498ED647" w:rsidR="00FD4565" w:rsidRDefault="00FD4565" w:rsidP="00FD4565">
            <w:r>
              <w:t xml:space="preserve">information in their environment. Additionally, </w:t>
            </w:r>
            <w:r>
              <w:t>pupils</w:t>
            </w:r>
            <w:r>
              <w:t xml:space="preserve"> may face physical</w:t>
            </w:r>
          </w:p>
          <w:p w14:paraId="303E94F0" w14:textId="205524B1" w:rsidR="00FD4565" w:rsidRDefault="00FD4565" w:rsidP="00FD4565">
            <w:r>
              <w:t xml:space="preserve">challenges that impact their ability to </w:t>
            </w:r>
            <w:r>
              <w:t>p</w:t>
            </w:r>
            <w:r>
              <w:t>erform daily tasks, including self-care, fine</w:t>
            </w:r>
            <w:r>
              <w:t xml:space="preserve"> </w:t>
            </w:r>
            <w:r>
              <w:t>motor skills (such as writing or using utensils), and gross motor skills (like walking or</w:t>
            </w:r>
            <w:r>
              <w:t xml:space="preserve"> </w:t>
            </w:r>
            <w:r>
              <w:t xml:space="preserve">climbing stairs). Both sensory and physical </w:t>
            </w:r>
            <w:r>
              <w:t>d</w:t>
            </w:r>
            <w:r>
              <w:t>ifficulties can significantly affect a</w:t>
            </w:r>
          </w:p>
          <w:p w14:paraId="48202B3E" w14:textId="6F20152B" w:rsidR="00FD4565" w:rsidRDefault="00FD4565" w:rsidP="00FD4565">
            <w:r>
              <w:t>pupil</w:t>
            </w:r>
            <w:r>
              <w:t>'s ability to engage with and learn from their surroundings.</w:t>
            </w:r>
          </w:p>
        </w:tc>
      </w:tr>
    </w:tbl>
    <w:p w14:paraId="24807A03" w14:textId="77777777" w:rsidR="003D59CC" w:rsidRDefault="003D59CC" w:rsidP="00DA7966">
      <w:pPr>
        <w:ind w:firstLine="720"/>
      </w:pPr>
    </w:p>
    <w:p w14:paraId="679AB5FE" w14:textId="1E1D5711" w:rsidR="002117BF" w:rsidRDefault="002117BF" w:rsidP="00DA7966">
      <w:pPr>
        <w:ind w:left="720"/>
      </w:pPr>
      <w:r>
        <w:t xml:space="preserve">A </w:t>
      </w:r>
      <w:r>
        <w:t xml:space="preserve">pupil will likely have aspects from </w:t>
      </w:r>
      <w:proofErr w:type="gramStart"/>
      <w:r>
        <w:t>a number of</w:t>
      </w:r>
      <w:proofErr w:type="gramEnd"/>
      <w:r>
        <w:t xml:space="preserve"> areas of </w:t>
      </w:r>
      <w:proofErr w:type="gramStart"/>
      <w:r>
        <w:t>needs</w:t>
      </w:r>
      <w:proofErr w:type="gramEnd"/>
      <w:r>
        <w:t xml:space="preserve"> </w:t>
      </w:r>
      <w:r>
        <w:t xml:space="preserve">and the Code of Practice recognises this. Some </w:t>
      </w:r>
      <w:r w:rsidR="00DA7966">
        <w:t>pupil</w:t>
      </w:r>
      <w:r>
        <w:t xml:space="preserve">s have other </w:t>
      </w:r>
      <w:r>
        <w:t>medically</w:t>
      </w:r>
      <w:r>
        <w:t xml:space="preserve"> diagnosed disabilities, which may also impact upon their </w:t>
      </w:r>
      <w:r>
        <w:lastRenderedPageBreak/>
        <w:t xml:space="preserve">learning. </w:t>
      </w:r>
      <w:r>
        <w:t>T</w:t>
      </w:r>
      <w:r>
        <w:t xml:space="preserve">hese four areas of need are used to inform parents and staff as to their child’s needs </w:t>
      </w:r>
      <w:proofErr w:type="gramStart"/>
      <w:r>
        <w:t>and also</w:t>
      </w:r>
      <w:proofErr w:type="gramEnd"/>
      <w:r>
        <w:t xml:space="preserve"> the provision. This is reported through the </w:t>
      </w:r>
      <w:r w:rsidR="00DA7966">
        <w:t>pupil</w:t>
      </w:r>
      <w:r>
        <w:t xml:space="preserve">s’ </w:t>
      </w:r>
      <w:r>
        <w:t xml:space="preserve">Individual Education </w:t>
      </w:r>
      <w:r>
        <w:t xml:space="preserve">Learning Plans </w:t>
      </w:r>
      <w:proofErr w:type="gramStart"/>
      <w:r>
        <w:t>and also</w:t>
      </w:r>
      <w:proofErr w:type="gramEnd"/>
      <w:r>
        <w:t xml:space="preserve"> the annual multi-disciplinary report written as part of the annual review process.</w:t>
      </w:r>
    </w:p>
    <w:p w14:paraId="534DF1F3" w14:textId="77777777" w:rsidR="00DA7966" w:rsidRDefault="00DA7966" w:rsidP="001D6B66"/>
    <w:p w14:paraId="21B57CFA" w14:textId="1E35DF25" w:rsidR="001D6B66" w:rsidRPr="00DA7966" w:rsidRDefault="001D6B66" w:rsidP="00DA7966">
      <w:pPr>
        <w:pStyle w:val="ListParagraph"/>
        <w:numPr>
          <w:ilvl w:val="0"/>
          <w:numId w:val="28"/>
        </w:numPr>
        <w:rPr>
          <w:b/>
          <w:bCs/>
        </w:rPr>
      </w:pPr>
      <w:r w:rsidRPr="00DA7966">
        <w:rPr>
          <w:b/>
          <w:bCs/>
        </w:rPr>
        <w:t>Responsibilities for the Policy and Procedure</w:t>
      </w:r>
    </w:p>
    <w:p w14:paraId="521245CF" w14:textId="7047CF3E" w:rsidR="001D6B66" w:rsidRDefault="001D6B66" w:rsidP="00DA7966">
      <w:pPr>
        <w:ind w:firstLine="360"/>
      </w:pPr>
      <w:r>
        <w:t>The Head of Centre/SENDCo is Ciarren Littler</w:t>
      </w:r>
      <w:r w:rsidR="00DA7966">
        <w:t>.</w:t>
      </w:r>
    </w:p>
    <w:p w14:paraId="3176C4CB" w14:textId="26FC1EAC" w:rsidR="001D6B66" w:rsidRDefault="001D6B66" w:rsidP="00DA7966">
      <w:pPr>
        <w:ind w:firstLine="360"/>
      </w:pPr>
      <w:r>
        <w:t xml:space="preserve">The </w:t>
      </w:r>
      <w:r>
        <w:t>ILG Inclusion Coordinator</w:t>
      </w:r>
      <w:r>
        <w:t xml:space="preserve"> is </w:t>
      </w:r>
      <w:r>
        <w:t>Flavia Rizzo</w:t>
      </w:r>
      <w:r>
        <w:t>.</w:t>
      </w:r>
    </w:p>
    <w:p w14:paraId="346862BC" w14:textId="77777777" w:rsidR="001D6B66" w:rsidRDefault="001D6B66" w:rsidP="001D6B66"/>
    <w:p w14:paraId="23A0889C" w14:textId="5A0260A6" w:rsidR="001D6B66" w:rsidRPr="00DA7966" w:rsidRDefault="001D6B66" w:rsidP="00DA7966">
      <w:pPr>
        <w:ind w:firstLine="360"/>
        <w:rPr>
          <w:b/>
          <w:bCs/>
        </w:rPr>
      </w:pPr>
      <w:r w:rsidRPr="00DA7966">
        <w:rPr>
          <w:b/>
          <w:bCs/>
        </w:rPr>
        <w:t>Role of the Head</w:t>
      </w:r>
      <w:r w:rsidRPr="00DA7966">
        <w:rPr>
          <w:b/>
          <w:bCs/>
        </w:rPr>
        <w:t xml:space="preserve"> of Centre</w:t>
      </w:r>
      <w:r w:rsidR="003D59CC">
        <w:rPr>
          <w:b/>
          <w:bCs/>
        </w:rPr>
        <w:t>/SENDCo</w:t>
      </w:r>
    </w:p>
    <w:p w14:paraId="1AAA549E" w14:textId="519C5FAB" w:rsidR="001D6B66" w:rsidRDefault="001D6B66" w:rsidP="00DA7966">
      <w:pPr>
        <w:ind w:left="360"/>
      </w:pPr>
      <w:r>
        <w:t xml:space="preserve">● Work with the </w:t>
      </w:r>
      <w:r>
        <w:t xml:space="preserve">Inclusion Coordinator </w:t>
      </w:r>
      <w:r>
        <w:t>to</w:t>
      </w:r>
      <w:r>
        <w:t xml:space="preserve"> </w:t>
      </w:r>
      <w:r>
        <w:t>determine the strategic development of the SEND policy and provision</w:t>
      </w:r>
      <w:r>
        <w:t xml:space="preserve"> </w:t>
      </w:r>
      <w:r>
        <w:t>within the school</w:t>
      </w:r>
      <w:r>
        <w:t xml:space="preserve"> and responsibilities are met under the Equality Act 2010 </w:t>
      </w:r>
      <w:proofErr w:type="gramStart"/>
      <w:r>
        <w:t>with regard to</w:t>
      </w:r>
      <w:proofErr w:type="gramEnd"/>
      <w:r>
        <w:t xml:space="preserve"> reasonable adjustments and arrangements.</w:t>
      </w:r>
    </w:p>
    <w:p w14:paraId="646625EA" w14:textId="26CAD59F" w:rsidR="001D6B66" w:rsidRDefault="001D6B66" w:rsidP="00DA7966">
      <w:pPr>
        <w:ind w:left="360"/>
      </w:pPr>
      <w:r>
        <w:t>● Have overall responsibility for, and awareness of, the provision for pupils</w:t>
      </w:r>
      <w:r>
        <w:t xml:space="preserve"> </w:t>
      </w:r>
      <w:r>
        <w:t>with SEND, and their progress</w:t>
      </w:r>
      <w:r w:rsidR="00C26EF9">
        <w:t>.</w:t>
      </w:r>
    </w:p>
    <w:p w14:paraId="586A8DAD" w14:textId="4E71EB89" w:rsidR="001D6B66" w:rsidRDefault="001D6B66" w:rsidP="00DA7966">
      <w:pPr>
        <w:ind w:firstLine="360"/>
      </w:pPr>
      <w:r>
        <w:t>● Have an overview of the needs of the current cohort of pupils</w:t>
      </w:r>
      <w:r w:rsidR="00C26EF9">
        <w:t>.</w:t>
      </w:r>
    </w:p>
    <w:p w14:paraId="78B9D2F1" w14:textId="75204A9B" w:rsidR="001D6B66" w:rsidRDefault="001D6B66" w:rsidP="00DA7966">
      <w:pPr>
        <w:ind w:left="360"/>
      </w:pPr>
      <w:r>
        <w:t xml:space="preserve">● </w:t>
      </w:r>
      <w:r w:rsidR="00C26EF9">
        <w:t>I</w:t>
      </w:r>
      <w:r>
        <w:t>dentify any specific training needs</w:t>
      </w:r>
      <w:r w:rsidR="00C26EF9">
        <w:t xml:space="preserve"> for staff</w:t>
      </w:r>
      <w:r>
        <w:t xml:space="preserve"> regarding SEN</w:t>
      </w:r>
      <w:r w:rsidR="003D59CC">
        <w:t xml:space="preserve"> </w:t>
      </w:r>
      <w:r>
        <w:t>and incorporate this into the</w:t>
      </w:r>
      <w:r w:rsidR="00C26EF9">
        <w:t xml:space="preserve"> </w:t>
      </w:r>
      <w:r>
        <w:t>school’s plan for continuous professional development</w:t>
      </w:r>
      <w:r w:rsidR="00C26EF9">
        <w:t>.</w:t>
      </w:r>
    </w:p>
    <w:p w14:paraId="6EEE80E5" w14:textId="69B26453" w:rsidR="001D6B66" w:rsidRDefault="001D6B66" w:rsidP="003D59CC">
      <w:pPr>
        <w:ind w:left="360"/>
      </w:pPr>
      <w:r>
        <w:t xml:space="preserve">● </w:t>
      </w:r>
      <w:r w:rsidR="00C26EF9">
        <w:t>R</w:t>
      </w:r>
      <w:r>
        <w:t>egularly review and evaluate the</w:t>
      </w:r>
      <w:r w:rsidR="00C26EF9">
        <w:t xml:space="preserve"> </w:t>
      </w:r>
      <w:r>
        <w:t>breadth and impact of the SEND support the school offers or can access</w:t>
      </w:r>
      <w:r w:rsidR="00C26EF9">
        <w:t>.</w:t>
      </w:r>
    </w:p>
    <w:p w14:paraId="2EB12249" w14:textId="13C491CA" w:rsidR="001D6B66" w:rsidRDefault="001D6B66" w:rsidP="003D59CC">
      <w:pPr>
        <w:ind w:firstLine="360"/>
      </w:pPr>
      <w:r>
        <w:t>● Promote the ethos and culture that supports SEND policy and promotes</w:t>
      </w:r>
      <w:r w:rsidR="00C26EF9">
        <w:t xml:space="preserve"> </w:t>
      </w:r>
      <w:r>
        <w:t>good outcomes</w:t>
      </w:r>
      <w:r w:rsidR="00C26EF9">
        <w:t>.</w:t>
      </w:r>
    </w:p>
    <w:p w14:paraId="2D8E8132" w14:textId="66A1E4C4" w:rsidR="001D6B66" w:rsidRDefault="001D6B66" w:rsidP="003D59CC">
      <w:pPr>
        <w:ind w:left="360"/>
      </w:pPr>
      <w:r>
        <w:t xml:space="preserve">● Ensure up to date knowledge of </w:t>
      </w:r>
      <w:r w:rsidR="00C26EF9">
        <w:t>n</w:t>
      </w:r>
      <w:r>
        <w:t>ational and local initiatives that may</w:t>
      </w:r>
      <w:r w:rsidR="00C26EF9">
        <w:t xml:space="preserve"> </w:t>
      </w:r>
      <w:r>
        <w:t>affect school policies and practice</w:t>
      </w:r>
      <w:r w:rsidR="009E11B5">
        <w:t>.</w:t>
      </w:r>
    </w:p>
    <w:p w14:paraId="51E7E91F" w14:textId="35D34712" w:rsidR="001D6B66" w:rsidRDefault="001D6B66" w:rsidP="003D59CC">
      <w:pPr>
        <w:ind w:left="360"/>
      </w:pPr>
      <w:r>
        <w:t>● Provide professional guidance to colleagues and liaise and work with staff,</w:t>
      </w:r>
      <w:r w:rsidR="00C26EF9">
        <w:t xml:space="preserve"> </w:t>
      </w:r>
      <w:r>
        <w:t>parents, and other agencies to make sure that pupils with SEN receive</w:t>
      </w:r>
      <w:r w:rsidR="00C26EF9">
        <w:t xml:space="preserve"> </w:t>
      </w:r>
      <w:r>
        <w:t>appropriate support and high-quality teaching</w:t>
      </w:r>
      <w:r w:rsidR="00C26EF9">
        <w:t>.</w:t>
      </w:r>
    </w:p>
    <w:p w14:paraId="20A3866B" w14:textId="6BD218E1" w:rsidR="001D6B66" w:rsidRDefault="001D6B66" w:rsidP="003D59CC">
      <w:pPr>
        <w:ind w:left="360"/>
      </w:pPr>
      <w:r>
        <w:t>● Liaise with potential next providers of education to make sure that the pupil</w:t>
      </w:r>
      <w:r w:rsidR="00C26EF9">
        <w:t xml:space="preserve"> </w:t>
      </w:r>
      <w:r>
        <w:t>and their parents are informed about options and that a smooth transition</w:t>
      </w:r>
      <w:r w:rsidR="00C26EF9">
        <w:t xml:space="preserve"> </w:t>
      </w:r>
      <w:r>
        <w:t>is planned</w:t>
      </w:r>
      <w:r w:rsidR="009E11B5">
        <w:t>.</w:t>
      </w:r>
    </w:p>
    <w:p w14:paraId="692E9494" w14:textId="32D58EB3" w:rsidR="001D6B66" w:rsidRDefault="001D6B66" w:rsidP="003D59CC">
      <w:pPr>
        <w:ind w:firstLine="360"/>
      </w:pPr>
      <w:bookmarkStart w:id="2" w:name="_Hlk209274437"/>
      <w:r>
        <w:t>●</w:t>
      </w:r>
      <w:bookmarkEnd w:id="2"/>
      <w:r>
        <w:t xml:space="preserve"> Oversee the Annual</w:t>
      </w:r>
      <w:r w:rsidR="00C26EF9">
        <w:t xml:space="preserve"> </w:t>
      </w:r>
      <w:r>
        <w:t>Review process including liaising with parents to ensure the EHCP is kept</w:t>
      </w:r>
    </w:p>
    <w:p w14:paraId="0DE7D6C3" w14:textId="0DA584CA" w:rsidR="003D59CC" w:rsidRDefault="001D6B66" w:rsidP="003D59CC">
      <w:pPr>
        <w:ind w:firstLine="360"/>
      </w:pPr>
      <w:r>
        <w:t>current and is followed through</w:t>
      </w:r>
      <w:r w:rsidR="00C26EF9">
        <w:t>.</w:t>
      </w:r>
    </w:p>
    <w:p w14:paraId="6A454CC9" w14:textId="3EC933B1" w:rsidR="00C26EF9" w:rsidRDefault="003D59CC" w:rsidP="003D59CC">
      <w:pPr>
        <w:ind w:left="360"/>
      </w:pPr>
      <w:r>
        <w:t>●</w:t>
      </w:r>
      <w:r w:rsidRPr="003D59CC">
        <w:t xml:space="preserve"> </w:t>
      </w:r>
      <w:r>
        <w:t>Have day-to-day responsibility for the operation of this SEND policy and the co-ordination of specific provision made to support individual pupils with SEN.</w:t>
      </w:r>
    </w:p>
    <w:p w14:paraId="328295CC" w14:textId="77777777" w:rsidR="003D59CC" w:rsidRDefault="003D59CC" w:rsidP="003D59CC">
      <w:pPr>
        <w:ind w:left="360"/>
      </w:pPr>
    </w:p>
    <w:p w14:paraId="057173AD" w14:textId="351CF8D3" w:rsidR="001D6B66" w:rsidRPr="003D59CC" w:rsidRDefault="001D6B66" w:rsidP="003D59CC">
      <w:pPr>
        <w:ind w:firstLine="360"/>
        <w:rPr>
          <w:b/>
          <w:bCs/>
        </w:rPr>
      </w:pPr>
      <w:r w:rsidRPr="003D59CC">
        <w:rPr>
          <w:b/>
          <w:bCs/>
        </w:rPr>
        <w:t>Role of the Teaching staff</w:t>
      </w:r>
    </w:p>
    <w:p w14:paraId="671A0F2B" w14:textId="77777777" w:rsidR="00C26EF9" w:rsidRDefault="001D6B66" w:rsidP="003D59CC">
      <w:pPr>
        <w:ind w:firstLine="360"/>
      </w:pPr>
      <w:r>
        <w:t>● Plan and providing high-quality teaching that is differentiated</w:t>
      </w:r>
      <w:r w:rsidR="00C26EF9">
        <w:t xml:space="preserve"> to meet pupils needs.</w:t>
      </w:r>
    </w:p>
    <w:p w14:paraId="26B2B997" w14:textId="47AD5F2E" w:rsidR="00C26EF9" w:rsidRDefault="00C26EF9" w:rsidP="003D59CC">
      <w:pPr>
        <w:ind w:firstLine="360"/>
      </w:pPr>
      <w:r w:rsidRPr="00C26EF9">
        <w:t>●</w:t>
      </w:r>
      <w:r w:rsidRPr="00C26EF9">
        <w:t xml:space="preserve"> </w:t>
      </w:r>
      <w:r>
        <w:t xml:space="preserve">Responsible for the progress and development of every </w:t>
      </w:r>
      <w:r w:rsidR="003D59CC">
        <w:t>pupil</w:t>
      </w:r>
      <w:r>
        <w:t xml:space="preserve"> in their</w:t>
      </w:r>
      <w:r>
        <w:t xml:space="preserve"> </w:t>
      </w:r>
      <w:r>
        <w:t>class</w:t>
      </w:r>
      <w:r>
        <w:t>.</w:t>
      </w:r>
    </w:p>
    <w:p w14:paraId="03C5F30E" w14:textId="76115C3B" w:rsidR="00C26EF9" w:rsidRDefault="00C26EF9" w:rsidP="003D59CC">
      <w:pPr>
        <w:ind w:left="360"/>
      </w:pPr>
      <w:r>
        <w:t xml:space="preserve">● Work collaboratively with the team around the </w:t>
      </w:r>
      <w:r w:rsidR="003D59CC">
        <w:t>pupil</w:t>
      </w:r>
      <w:r>
        <w:t xml:space="preserve"> to plan, assess,</w:t>
      </w:r>
      <w:r>
        <w:t xml:space="preserve"> </w:t>
      </w:r>
      <w:r>
        <w:t>review and carry out the individualised learning programmes to meet all</w:t>
      </w:r>
      <w:r>
        <w:t xml:space="preserve"> pupil</w:t>
      </w:r>
      <w:r>
        <w:t>s’ needs</w:t>
      </w:r>
      <w:r w:rsidR="009E11B5">
        <w:t>.</w:t>
      </w:r>
    </w:p>
    <w:p w14:paraId="10A30346" w14:textId="67FF66B0" w:rsidR="00C26EF9" w:rsidRDefault="00C26EF9" w:rsidP="003D59CC">
      <w:pPr>
        <w:ind w:left="360"/>
      </w:pPr>
      <w:r>
        <w:t>● Work with the SEN</w:t>
      </w:r>
      <w:r w:rsidR="003D59CC">
        <w:t>D</w:t>
      </w:r>
      <w:r>
        <w:t>C</w:t>
      </w:r>
      <w:r w:rsidR="003D59CC">
        <w:t>o</w:t>
      </w:r>
      <w:r>
        <w:t xml:space="preserve"> to review each pupil’s</w:t>
      </w:r>
      <w:r>
        <w:t xml:space="preserve"> </w:t>
      </w:r>
      <w:r>
        <w:t>progress and development and decide on any changes to provision</w:t>
      </w:r>
      <w:r>
        <w:t>.</w:t>
      </w:r>
    </w:p>
    <w:p w14:paraId="3F918AD0" w14:textId="130C443D" w:rsidR="00C26EF9" w:rsidRDefault="00C26EF9" w:rsidP="003D59CC">
      <w:pPr>
        <w:ind w:firstLine="360"/>
      </w:pPr>
      <w:r>
        <w:t>● Day-to–day management and support of the</w:t>
      </w:r>
      <w:r>
        <w:t xml:space="preserve"> </w:t>
      </w:r>
      <w:r w:rsidR="003D59CC">
        <w:t>Higher-level</w:t>
      </w:r>
      <w:r>
        <w:t xml:space="preserve"> T</w:t>
      </w:r>
      <w:r>
        <w:t xml:space="preserve">eaching </w:t>
      </w:r>
      <w:r>
        <w:t>A</w:t>
      </w:r>
      <w:r>
        <w:t>ssistants working in</w:t>
      </w:r>
      <w:r>
        <w:t xml:space="preserve"> </w:t>
      </w:r>
      <w:r>
        <w:t>their class</w:t>
      </w:r>
      <w:r w:rsidR="009E11B5">
        <w:t>.</w:t>
      </w:r>
    </w:p>
    <w:p w14:paraId="4D8733C4" w14:textId="3261B624" w:rsidR="00C26EF9" w:rsidRDefault="00C26EF9" w:rsidP="003D59CC">
      <w:pPr>
        <w:ind w:firstLine="360"/>
      </w:pPr>
      <w:r>
        <w:lastRenderedPageBreak/>
        <w:t>● Ensure they follow this SEND policy</w:t>
      </w:r>
      <w:r>
        <w:t>.</w:t>
      </w:r>
    </w:p>
    <w:p w14:paraId="5EAE2A11" w14:textId="4DB334DF" w:rsidR="00C26EF9" w:rsidRDefault="00C26EF9" w:rsidP="003D59CC">
      <w:pPr>
        <w:ind w:left="360"/>
      </w:pPr>
      <w:r>
        <w:t>● Take responsibility to identify training needs and engage in developing SEN</w:t>
      </w:r>
      <w:r>
        <w:t xml:space="preserve"> </w:t>
      </w:r>
      <w:r>
        <w:t xml:space="preserve">practice through further </w:t>
      </w:r>
      <w:r>
        <w:t xml:space="preserve">   </w:t>
      </w:r>
      <w:r>
        <w:t>training</w:t>
      </w:r>
      <w:r>
        <w:t>.</w:t>
      </w:r>
    </w:p>
    <w:p w14:paraId="7D5912CA" w14:textId="1F9F6169" w:rsidR="00C26EF9" w:rsidRDefault="00C26EF9" w:rsidP="003D59CC">
      <w:pPr>
        <w:ind w:firstLine="360"/>
      </w:pPr>
      <w:r>
        <w:t>● Work with SEN</w:t>
      </w:r>
      <w:r>
        <w:t>D</w:t>
      </w:r>
      <w:r>
        <w:t>C</w:t>
      </w:r>
      <w:r>
        <w:t>o</w:t>
      </w:r>
      <w:r>
        <w:t xml:space="preserve"> to plan for and support</w:t>
      </w:r>
      <w:r>
        <w:t xml:space="preserve"> </w:t>
      </w:r>
      <w:r>
        <w:t>individual programmes</w:t>
      </w:r>
      <w:r>
        <w:t>.</w:t>
      </w:r>
    </w:p>
    <w:p w14:paraId="5D32D4AE" w14:textId="721A80A6" w:rsidR="00C26EF9" w:rsidRDefault="00C26EF9" w:rsidP="003D59CC">
      <w:pPr>
        <w:ind w:firstLine="360"/>
      </w:pPr>
      <w:r>
        <w:t>● Communicate with parents regularly</w:t>
      </w:r>
      <w:r>
        <w:t>.</w:t>
      </w:r>
    </w:p>
    <w:p w14:paraId="1D75B84C" w14:textId="77777777" w:rsidR="003D59CC" w:rsidRDefault="003D59CC" w:rsidP="00C030FB"/>
    <w:p w14:paraId="3730FB80" w14:textId="5E061F90" w:rsidR="00C030FB" w:rsidRPr="003D59CC" w:rsidRDefault="00C030FB" w:rsidP="003D59CC">
      <w:pPr>
        <w:pStyle w:val="ListParagraph"/>
        <w:numPr>
          <w:ilvl w:val="0"/>
          <w:numId w:val="28"/>
        </w:numPr>
        <w:rPr>
          <w:b/>
          <w:bCs/>
        </w:rPr>
      </w:pPr>
      <w:r w:rsidRPr="003D59CC">
        <w:rPr>
          <w:b/>
          <w:bCs/>
        </w:rPr>
        <w:t xml:space="preserve">Legislation </w:t>
      </w:r>
      <w:r w:rsidR="001D6B66" w:rsidRPr="003D59CC">
        <w:rPr>
          <w:b/>
          <w:bCs/>
        </w:rPr>
        <w:t>informing this policy</w:t>
      </w:r>
      <w:r w:rsidRPr="003D59CC">
        <w:rPr>
          <w:b/>
          <w:bCs/>
        </w:rPr>
        <w:t xml:space="preserve"> </w:t>
      </w:r>
    </w:p>
    <w:p w14:paraId="7A54DA6A" w14:textId="77777777" w:rsidR="00C030FB" w:rsidRDefault="00C030FB" w:rsidP="003D59CC">
      <w:pPr>
        <w:ind w:firstLine="360"/>
      </w:pPr>
      <w:r>
        <w:t xml:space="preserve">This policy has regard to: </w:t>
      </w:r>
    </w:p>
    <w:p w14:paraId="127C01A1" w14:textId="77777777" w:rsidR="00C030FB" w:rsidRDefault="00C030FB" w:rsidP="003D59CC">
      <w:pPr>
        <w:ind w:firstLine="360"/>
      </w:pPr>
      <w:r>
        <w:t xml:space="preserve">• The Equality Act </w:t>
      </w:r>
      <w:proofErr w:type="gramStart"/>
      <w:r>
        <w:t>2010;</w:t>
      </w:r>
      <w:proofErr w:type="gramEnd"/>
      <w:r>
        <w:t xml:space="preserve"> </w:t>
      </w:r>
    </w:p>
    <w:p w14:paraId="4114C1D7" w14:textId="77777777" w:rsidR="00C030FB" w:rsidRDefault="00C030FB" w:rsidP="003D59CC">
      <w:pPr>
        <w:ind w:firstLine="360"/>
      </w:pPr>
      <w:r>
        <w:t xml:space="preserve">• The Children and Families Act </w:t>
      </w:r>
      <w:proofErr w:type="gramStart"/>
      <w:r>
        <w:t>2014;</w:t>
      </w:r>
      <w:proofErr w:type="gramEnd"/>
    </w:p>
    <w:p w14:paraId="12B15030" w14:textId="53B7D658" w:rsidR="00C030FB" w:rsidRDefault="00C030FB" w:rsidP="003D59CC">
      <w:pPr>
        <w:pStyle w:val="ListParagraph"/>
        <w:numPr>
          <w:ilvl w:val="0"/>
          <w:numId w:val="30"/>
        </w:numPr>
      </w:pPr>
      <w:r>
        <w:t>SEN and Disability Code of Practice, 0-25 years 2014 (SEND Code 2015) (DFE); and</w:t>
      </w:r>
    </w:p>
    <w:p w14:paraId="75854271" w14:textId="3DD5513A" w:rsidR="00C030FB" w:rsidRDefault="00C030FB" w:rsidP="00C030FB">
      <w:r>
        <w:t xml:space="preserve"> </w:t>
      </w:r>
      <w:r w:rsidR="003D59CC">
        <w:t xml:space="preserve">      </w:t>
      </w:r>
      <w:r>
        <w:t>• The General Data Protection Regulation 2016 (GDPR)</w:t>
      </w:r>
    </w:p>
    <w:p w14:paraId="5E67245B" w14:textId="77777777" w:rsidR="001F5E6E" w:rsidRDefault="001F5E6E" w:rsidP="001F5E6E">
      <w:pPr>
        <w:pStyle w:val="ListParagraph"/>
      </w:pPr>
    </w:p>
    <w:p w14:paraId="7117AB08" w14:textId="77777777" w:rsidR="001F5E6E" w:rsidRDefault="001D2D33" w:rsidP="003D59CC">
      <w:pPr>
        <w:ind w:firstLine="720"/>
      </w:pPr>
      <w:r>
        <w:t>The relevant documentation that links with this policy is as fo</w:t>
      </w:r>
      <w:r w:rsidR="001F5E6E">
        <w:t>l</w:t>
      </w:r>
      <w:r>
        <w:t xml:space="preserve">lows: </w:t>
      </w:r>
    </w:p>
    <w:p w14:paraId="603BE069" w14:textId="77777777" w:rsidR="001F5E6E" w:rsidRDefault="001D2D33" w:rsidP="001F5E6E">
      <w:pPr>
        <w:pStyle w:val="ListParagraph"/>
      </w:pPr>
      <w:r>
        <w:t xml:space="preserve">● Assessment Policy </w:t>
      </w:r>
    </w:p>
    <w:p w14:paraId="2DD0AA5B" w14:textId="77777777" w:rsidR="001F5E6E" w:rsidRDefault="001D2D33" w:rsidP="001F5E6E">
      <w:pPr>
        <w:pStyle w:val="ListParagraph"/>
      </w:pPr>
      <w:r>
        <w:t xml:space="preserve">● Curriculum Policy </w:t>
      </w:r>
    </w:p>
    <w:p w14:paraId="7B51015E" w14:textId="77777777" w:rsidR="001F5E6E" w:rsidRDefault="001D2D33" w:rsidP="001F5E6E">
      <w:pPr>
        <w:pStyle w:val="ListParagraph"/>
      </w:pPr>
      <w:r>
        <w:t xml:space="preserve">● Behaviour Policy </w:t>
      </w:r>
    </w:p>
    <w:p w14:paraId="3F667AEA" w14:textId="38F4B054" w:rsidR="009E11B5" w:rsidRDefault="001D2D33" w:rsidP="001F5E6E">
      <w:pPr>
        <w:pStyle w:val="ListParagraph"/>
      </w:pPr>
      <w:r>
        <w:t>● Child Protection and Safeguarding</w:t>
      </w:r>
      <w:r w:rsidR="009E11B5">
        <w:t xml:space="preserve"> Policy</w:t>
      </w:r>
      <w:r>
        <w:t xml:space="preserve"> </w:t>
      </w:r>
    </w:p>
    <w:p w14:paraId="0CD6799C" w14:textId="77777777" w:rsidR="009E11B5" w:rsidRDefault="001D2D33" w:rsidP="001F5E6E">
      <w:pPr>
        <w:pStyle w:val="ListParagraph"/>
      </w:pPr>
      <w:r>
        <w:t xml:space="preserve">● Equal Opportunities and Race Equality Policy </w:t>
      </w:r>
    </w:p>
    <w:p w14:paraId="4C033B89" w14:textId="5986361A" w:rsidR="001D2D33" w:rsidRPr="001F5E6E" w:rsidRDefault="001D2D33" w:rsidP="001F5E6E">
      <w:pPr>
        <w:pStyle w:val="ListParagraph"/>
        <w:rPr>
          <w:rFonts w:ascii="Baskerville Old Face" w:hAnsi="Baskerville Old Face"/>
          <w:b/>
        </w:rPr>
      </w:pPr>
      <w:r>
        <w:t>● Accessibility Plan</w:t>
      </w:r>
    </w:p>
    <w:p w14:paraId="1DC0529D" w14:textId="77777777" w:rsidR="001D2D33" w:rsidRDefault="001D2D33">
      <w:pPr>
        <w:rPr>
          <w:rFonts w:ascii="Baskerville Old Face" w:hAnsi="Baskerville Old Face"/>
          <w:b/>
        </w:rPr>
      </w:pPr>
    </w:p>
    <w:p w14:paraId="70382DD9" w14:textId="77777777" w:rsidR="009E11B5" w:rsidRDefault="009E11B5">
      <w:pPr>
        <w:rPr>
          <w:rFonts w:ascii="Baskerville Old Face" w:hAnsi="Baskerville Old Face"/>
          <w:b/>
        </w:rPr>
      </w:pPr>
    </w:p>
    <w:p w14:paraId="62C12700" w14:textId="77777777" w:rsidR="009E11B5" w:rsidRDefault="009E11B5">
      <w:pPr>
        <w:rPr>
          <w:rFonts w:ascii="Baskerville Old Face" w:hAnsi="Baskerville Old Face"/>
          <w:b/>
        </w:rPr>
      </w:pPr>
    </w:p>
    <w:p w14:paraId="15FBC133" w14:textId="77777777" w:rsidR="009E11B5" w:rsidRPr="00F509B9" w:rsidRDefault="009E11B5">
      <w:pPr>
        <w:rPr>
          <w:rFonts w:ascii="Baskerville Old Face" w:hAnsi="Baskerville Old Face"/>
          <w:b/>
        </w:rPr>
      </w:pPr>
    </w:p>
    <w:p w14:paraId="56AECACC" w14:textId="038AB734" w:rsidR="0064754A" w:rsidRDefault="00037F7E" w:rsidP="0D5A92BE">
      <w:pPr>
        <w:spacing w:after="0"/>
        <w:rPr>
          <w:rFonts w:eastAsiaTheme="minorEastAsia"/>
        </w:rPr>
      </w:pPr>
      <w:r w:rsidRPr="0D5A92BE">
        <w:rPr>
          <w:rFonts w:eastAsiaTheme="minorEastAsia"/>
          <w:b/>
          <w:bCs/>
        </w:rPr>
        <w:t xml:space="preserve">Review </w:t>
      </w:r>
      <w:r w:rsidRPr="0D5A92BE">
        <w:rPr>
          <w:rFonts w:eastAsiaTheme="minorEastAsia"/>
        </w:rPr>
        <w:t xml:space="preserve">This policy is </w:t>
      </w:r>
      <w:r w:rsidR="001D2D33">
        <w:rPr>
          <w:rFonts w:eastAsiaTheme="minorEastAsia"/>
        </w:rPr>
        <w:t>reviewed annually.</w:t>
      </w:r>
      <w:r w:rsidRPr="0D5A92BE">
        <w:rPr>
          <w:rFonts w:eastAsiaTheme="minorEastAsia"/>
        </w:rPr>
        <w:t xml:space="preserve"> </w:t>
      </w:r>
    </w:p>
    <w:p w14:paraId="365C5BC9" w14:textId="77777777" w:rsidR="001D2D33" w:rsidRDefault="001D2D33" w:rsidP="0D5A92BE">
      <w:pPr>
        <w:spacing w:after="0"/>
        <w:rPr>
          <w:rFonts w:eastAsiaTheme="minorEastAsia"/>
        </w:rPr>
      </w:pPr>
    </w:p>
    <w:p w14:paraId="1E0FCBCD" w14:textId="04354AD1" w:rsidR="001D2D33" w:rsidRPr="001D2D33" w:rsidRDefault="001D2D33" w:rsidP="0D5A92BE">
      <w:pPr>
        <w:spacing w:after="0"/>
        <w:rPr>
          <w:rFonts w:eastAsiaTheme="minorEastAsia"/>
          <w:b/>
          <w:bCs/>
        </w:rPr>
      </w:pPr>
      <w:r w:rsidRPr="001D2D33">
        <w:rPr>
          <w:rFonts w:eastAsiaTheme="minorEastAsia"/>
          <w:b/>
          <w:bCs/>
        </w:rPr>
        <w:t>Review due:</w:t>
      </w:r>
      <w:r>
        <w:rPr>
          <w:rFonts w:eastAsiaTheme="minorEastAsia"/>
          <w:b/>
          <w:bCs/>
        </w:rPr>
        <w:t xml:space="preserve"> </w:t>
      </w:r>
      <w:r w:rsidRPr="001D2D33">
        <w:rPr>
          <w:rFonts w:eastAsiaTheme="minorEastAsia"/>
        </w:rPr>
        <w:t>September 2026</w:t>
      </w:r>
    </w:p>
    <w:p w14:paraId="1983D310" w14:textId="77777777" w:rsidR="009B3E0F" w:rsidRPr="00F509B9" w:rsidRDefault="009B3E0F" w:rsidP="0D5A92BE">
      <w:pPr>
        <w:spacing w:after="0"/>
        <w:rPr>
          <w:rFonts w:eastAsiaTheme="minorEastAsia"/>
        </w:rPr>
      </w:pPr>
    </w:p>
    <w:p w14:paraId="0AA6DCDD" w14:textId="77777777" w:rsidR="0064754A" w:rsidRPr="00F509B9" w:rsidRDefault="0064754A" w:rsidP="0D5A92BE">
      <w:pPr>
        <w:spacing w:after="0"/>
        <w:rPr>
          <w:rFonts w:eastAsiaTheme="minorEastAsia"/>
        </w:rPr>
      </w:pPr>
      <w:r w:rsidRPr="0D5A92BE">
        <w:rPr>
          <w:rFonts w:eastAsiaTheme="minorEastAsia"/>
        </w:rPr>
        <w:t>Signed by Amit Mehta, Proprietor</w:t>
      </w:r>
    </w:p>
    <w:p w14:paraId="3E73BB37" w14:textId="77777777" w:rsidR="0064754A" w:rsidRPr="00F509B9" w:rsidRDefault="0064754A" w:rsidP="0D5A92BE">
      <w:pPr>
        <w:spacing w:after="0"/>
        <w:rPr>
          <w:rFonts w:eastAsiaTheme="minorEastAsia"/>
        </w:rPr>
      </w:pPr>
    </w:p>
    <w:p w14:paraId="78E1F7E8" w14:textId="77777777" w:rsidR="0064754A" w:rsidRPr="00F509B9" w:rsidRDefault="0064754A" w:rsidP="0D5A92BE">
      <w:pPr>
        <w:spacing w:after="0"/>
        <w:rPr>
          <w:rFonts w:eastAsiaTheme="minorEastAsia"/>
        </w:rPr>
      </w:pPr>
      <w:r w:rsidRPr="00F509B9">
        <w:rPr>
          <w:rFonts w:ascii="Baskerville Old Face" w:hAnsi="Baskerville Old Face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EB1F539" wp14:editId="7C195D9A">
            <wp:simplePos x="0" y="0"/>
            <wp:positionH relativeFrom="page">
              <wp:posOffset>825500</wp:posOffset>
            </wp:positionH>
            <wp:positionV relativeFrom="paragraph">
              <wp:posOffset>287020</wp:posOffset>
            </wp:positionV>
            <wp:extent cx="1270000" cy="762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4754A" w:rsidRPr="00F509B9" w:rsidSect="006C023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0F43"/>
    <w:multiLevelType w:val="multilevel"/>
    <w:tmpl w:val="648A9C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1A970C1"/>
    <w:multiLevelType w:val="hybridMultilevel"/>
    <w:tmpl w:val="CF322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F07EA"/>
    <w:multiLevelType w:val="multilevel"/>
    <w:tmpl w:val="9C5A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E1A2D"/>
    <w:multiLevelType w:val="hybridMultilevel"/>
    <w:tmpl w:val="531A6D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25301"/>
    <w:multiLevelType w:val="hybridMultilevel"/>
    <w:tmpl w:val="0D140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73938"/>
    <w:multiLevelType w:val="hybridMultilevel"/>
    <w:tmpl w:val="D310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F4F09"/>
    <w:multiLevelType w:val="multilevel"/>
    <w:tmpl w:val="AF96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C56124"/>
    <w:multiLevelType w:val="hybridMultilevel"/>
    <w:tmpl w:val="5180FF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624A1"/>
    <w:multiLevelType w:val="hybridMultilevel"/>
    <w:tmpl w:val="FEE08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B1D77"/>
    <w:multiLevelType w:val="hybridMultilevel"/>
    <w:tmpl w:val="3530E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76C2C"/>
    <w:multiLevelType w:val="multilevel"/>
    <w:tmpl w:val="550A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090D00"/>
    <w:multiLevelType w:val="hybridMultilevel"/>
    <w:tmpl w:val="E08CD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660A8"/>
    <w:multiLevelType w:val="hybridMultilevel"/>
    <w:tmpl w:val="9C2CA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30B3C"/>
    <w:multiLevelType w:val="hybridMultilevel"/>
    <w:tmpl w:val="4FD28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E7BBD"/>
    <w:multiLevelType w:val="hybridMultilevel"/>
    <w:tmpl w:val="B6324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F4540"/>
    <w:multiLevelType w:val="hybridMultilevel"/>
    <w:tmpl w:val="C0B211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FF0D6F"/>
    <w:multiLevelType w:val="hybridMultilevel"/>
    <w:tmpl w:val="35F69A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19711A"/>
    <w:multiLevelType w:val="hybridMultilevel"/>
    <w:tmpl w:val="4EFCAB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A11166"/>
    <w:multiLevelType w:val="multilevel"/>
    <w:tmpl w:val="4E30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211612"/>
    <w:multiLevelType w:val="hybridMultilevel"/>
    <w:tmpl w:val="C4628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B3316"/>
    <w:multiLevelType w:val="hybridMultilevel"/>
    <w:tmpl w:val="3DB4B104"/>
    <w:lvl w:ilvl="0" w:tplc="08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1" w15:restartNumberingAfterBreak="0">
    <w:nsid w:val="5E843020"/>
    <w:multiLevelType w:val="multilevel"/>
    <w:tmpl w:val="FB28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F5055A"/>
    <w:multiLevelType w:val="hybridMultilevel"/>
    <w:tmpl w:val="1FDC90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E5566C"/>
    <w:multiLevelType w:val="hybridMultilevel"/>
    <w:tmpl w:val="740C7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46DD1"/>
    <w:multiLevelType w:val="multilevel"/>
    <w:tmpl w:val="67ACC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4D0C4E"/>
    <w:multiLevelType w:val="hybridMultilevel"/>
    <w:tmpl w:val="9C4203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04C5A"/>
    <w:multiLevelType w:val="multilevel"/>
    <w:tmpl w:val="D928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F86E3D"/>
    <w:multiLevelType w:val="hybridMultilevel"/>
    <w:tmpl w:val="A2AE9D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731DA"/>
    <w:multiLevelType w:val="hybridMultilevel"/>
    <w:tmpl w:val="55F64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856C5"/>
    <w:multiLevelType w:val="hybridMultilevel"/>
    <w:tmpl w:val="2DAC6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961778">
    <w:abstractNumId w:val="12"/>
  </w:num>
  <w:num w:numId="2" w16cid:durableId="140656862">
    <w:abstractNumId w:val="1"/>
  </w:num>
  <w:num w:numId="3" w16cid:durableId="1623613639">
    <w:abstractNumId w:val="25"/>
  </w:num>
  <w:num w:numId="4" w16cid:durableId="1505820799">
    <w:abstractNumId w:val="16"/>
  </w:num>
  <w:num w:numId="5" w16cid:durableId="613942591">
    <w:abstractNumId w:val="23"/>
  </w:num>
  <w:num w:numId="6" w16cid:durableId="434207573">
    <w:abstractNumId w:val="14"/>
  </w:num>
  <w:num w:numId="7" w16cid:durableId="1113331484">
    <w:abstractNumId w:val="11"/>
  </w:num>
  <w:num w:numId="8" w16cid:durableId="1023480230">
    <w:abstractNumId w:val="15"/>
  </w:num>
  <w:num w:numId="9" w16cid:durableId="712576646">
    <w:abstractNumId w:val="13"/>
  </w:num>
  <w:num w:numId="10" w16cid:durableId="318844473">
    <w:abstractNumId w:val="4"/>
  </w:num>
  <w:num w:numId="11" w16cid:durableId="1738937199">
    <w:abstractNumId w:val="9"/>
  </w:num>
  <w:num w:numId="12" w16cid:durableId="226571407">
    <w:abstractNumId w:val="29"/>
  </w:num>
  <w:num w:numId="13" w16cid:durableId="2027291276">
    <w:abstractNumId w:val="5"/>
  </w:num>
  <w:num w:numId="14" w16cid:durableId="695887021">
    <w:abstractNumId w:val="6"/>
  </w:num>
  <w:num w:numId="15" w16cid:durableId="161165219">
    <w:abstractNumId w:val="2"/>
  </w:num>
  <w:num w:numId="16" w16cid:durableId="1170410963">
    <w:abstractNumId w:val="10"/>
  </w:num>
  <w:num w:numId="17" w16cid:durableId="242880253">
    <w:abstractNumId w:val="18"/>
  </w:num>
  <w:num w:numId="18" w16cid:durableId="1591163199">
    <w:abstractNumId w:val="24"/>
  </w:num>
  <w:num w:numId="19" w16cid:durableId="1253080898">
    <w:abstractNumId w:val="19"/>
  </w:num>
  <w:num w:numId="20" w16cid:durableId="2023437667">
    <w:abstractNumId w:val="17"/>
  </w:num>
  <w:num w:numId="21" w16cid:durableId="416293359">
    <w:abstractNumId w:val="22"/>
  </w:num>
  <w:num w:numId="22" w16cid:durableId="741177716">
    <w:abstractNumId w:val="3"/>
  </w:num>
  <w:num w:numId="23" w16cid:durableId="691034396">
    <w:abstractNumId w:val="21"/>
  </w:num>
  <w:num w:numId="24" w16cid:durableId="2117167294">
    <w:abstractNumId w:val="26"/>
  </w:num>
  <w:num w:numId="25" w16cid:durableId="1114251467">
    <w:abstractNumId w:val="27"/>
  </w:num>
  <w:num w:numId="26" w16cid:durableId="2093815079">
    <w:abstractNumId w:val="8"/>
  </w:num>
  <w:num w:numId="27" w16cid:durableId="1420055924">
    <w:abstractNumId w:val="0"/>
  </w:num>
  <w:num w:numId="28" w16cid:durableId="1417284038">
    <w:abstractNumId w:val="7"/>
  </w:num>
  <w:num w:numId="29" w16cid:durableId="461853173">
    <w:abstractNumId w:val="20"/>
  </w:num>
  <w:num w:numId="30" w16cid:durableId="35484175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7E"/>
    <w:rsid w:val="00037F7E"/>
    <w:rsid w:val="00087716"/>
    <w:rsid w:val="00093AD6"/>
    <w:rsid w:val="000A2B7A"/>
    <w:rsid w:val="000A4077"/>
    <w:rsid w:val="000B1CF5"/>
    <w:rsid w:val="000D766F"/>
    <w:rsid w:val="00104F8C"/>
    <w:rsid w:val="00116982"/>
    <w:rsid w:val="00116C5F"/>
    <w:rsid w:val="001330E9"/>
    <w:rsid w:val="00141324"/>
    <w:rsid w:val="00142CBE"/>
    <w:rsid w:val="001466B9"/>
    <w:rsid w:val="00151BC8"/>
    <w:rsid w:val="00154C30"/>
    <w:rsid w:val="00181713"/>
    <w:rsid w:val="001D2D33"/>
    <w:rsid w:val="001D3596"/>
    <w:rsid w:val="001D6B66"/>
    <w:rsid w:val="001F268D"/>
    <w:rsid w:val="001F5E6E"/>
    <w:rsid w:val="002117BF"/>
    <w:rsid w:val="00221C45"/>
    <w:rsid w:val="00235BF6"/>
    <w:rsid w:val="00250E5C"/>
    <w:rsid w:val="00270EF2"/>
    <w:rsid w:val="00280989"/>
    <w:rsid w:val="00291FAF"/>
    <w:rsid w:val="0029704C"/>
    <w:rsid w:val="002A07E9"/>
    <w:rsid w:val="002F4222"/>
    <w:rsid w:val="003234EB"/>
    <w:rsid w:val="00341E47"/>
    <w:rsid w:val="003523FC"/>
    <w:rsid w:val="00360785"/>
    <w:rsid w:val="0037056A"/>
    <w:rsid w:val="00377F15"/>
    <w:rsid w:val="003B78C8"/>
    <w:rsid w:val="003D59CC"/>
    <w:rsid w:val="00401430"/>
    <w:rsid w:val="00440D55"/>
    <w:rsid w:val="004A5966"/>
    <w:rsid w:val="004B218B"/>
    <w:rsid w:val="00522185"/>
    <w:rsid w:val="00526512"/>
    <w:rsid w:val="00536919"/>
    <w:rsid w:val="00547DF4"/>
    <w:rsid w:val="00584E2F"/>
    <w:rsid w:val="00593A38"/>
    <w:rsid w:val="005A6CD8"/>
    <w:rsid w:val="005B0BAF"/>
    <w:rsid w:val="005B2D9B"/>
    <w:rsid w:val="005D39DC"/>
    <w:rsid w:val="005D497F"/>
    <w:rsid w:val="005E3A9D"/>
    <w:rsid w:val="005F4690"/>
    <w:rsid w:val="00613BA0"/>
    <w:rsid w:val="00634640"/>
    <w:rsid w:val="0064734E"/>
    <w:rsid w:val="0064754A"/>
    <w:rsid w:val="0065517A"/>
    <w:rsid w:val="00656900"/>
    <w:rsid w:val="00663B86"/>
    <w:rsid w:val="00677852"/>
    <w:rsid w:val="006962E5"/>
    <w:rsid w:val="006C023E"/>
    <w:rsid w:val="006C1E08"/>
    <w:rsid w:val="006D18D7"/>
    <w:rsid w:val="006F01A9"/>
    <w:rsid w:val="006F4378"/>
    <w:rsid w:val="006F6A85"/>
    <w:rsid w:val="006F73B3"/>
    <w:rsid w:val="007149CB"/>
    <w:rsid w:val="00715642"/>
    <w:rsid w:val="00717C56"/>
    <w:rsid w:val="007229AA"/>
    <w:rsid w:val="0073424D"/>
    <w:rsid w:val="00744F5E"/>
    <w:rsid w:val="00762F08"/>
    <w:rsid w:val="00780F8E"/>
    <w:rsid w:val="007B1BBB"/>
    <w:rsid w:val="007C0548"/>
    <w:rsid w:val="007D3F64"/>
    <w:rsid w:val="007E56D8"/>
    <w:rsid w:val="007E77EE"/>
    <w:rsid w:val="00812C5A"/>
    <w:rsid w:val="00817B0B"/>
    <w:rsid w:val="00825D97"/>
    <w:rsid w:val="0085227C"/>
    <w:rsid w:val="008647D0"/>
    <w:rsid w:val="00866219"/>
    <w:rsid w:val="00870499"/>
    <w:rsid w:val="00882440"/>
    <w:rsid w:val="00886ABC"/>
    <w:rsid w:val="008B4488"/>
    <w:rsid w:val="008B70D9"/>
    <w:rsid w:val="008C686C"/>
    <w:rsid w:val="008C709A"/>
    <w:rsid w:val="008D6EA8"/>
    <w:rsid w:val="008E4B3C"/>
    <w:rsid w:val="00931E8A"/>
    <w:rsid w:val="009468B3"/>
    <w:rsid w:val="00982FAD"/>
    <w:rsid w:val="00986B6F"/>
    <w:rsid w:val="00992D7B"/>
    <w:rsid w:val="009B3E0F"/>
    <w:rsid w:val="009E11B5"/>
    <w:rsid w:val="009E2649"/>
    <w:rsid w:val="009E483A"/>
    <w:rsid w:val="00A24331"/>
    <w:rsid w:val="00A346BD"/>
    <w:rsid w:val="00A35DCE"/>
    <w:rsid w:val="00A47F6B"/>
    <w:rsid w:val="00A577EF"/>
    <w:rsid w:val="00A61041"/>
    <w:rsid w:val="00A801A3"/>
    <w:rsid w:val="00AC4305"/>
    <w:rsid w:val="00AF7D89"/>
    <w:rsid w:val="00B018AF"/>
    <w:rsid w:val="00B023C5"/>
    <w:rsid w:val="00B31C5D"/>
    <w:rsid w:val="00B72528"/>
    <w:rsid w:val="00B84D0E"/>
    <w:rsid w:val="00BE16BC"/>
    <w:rsid w:val="00BF5375"/>
    <w:rsid w:val="00C030FB"/>
    <w:rsid w:val="00C1292C"/>
    <w:rsid w:val="00C26EF9"/>
    <w:rsid w:val="00C309C6"/>
    <w:rsid w:val="00C347BD"/>
    <w:rsid w:val="00C73E0B"/>
    <w:rsid w:val="00C92084"/>
    <w:rsid w:val="00CE2533"/>
    <w:rsid w:val="00CE6187"/>
    <w:rsid w:val="00CF0D37"/>
    <w:rsid w:val="00D202CE"/>
    <w:rsid w:val="00D3729A"/>
    <w:rsid w:val="00D377CC"/>
    <w:rsid w:val="00D450FE"/>
    <w:rsid w:val="00D623BA"/>
    <w:rsid w:val="00D85B4F"/>
    <w:rsid w:val="00DA7966"/>
    <w:rsid w:val="00DB056C"/>
    <w:rsid w:val="00DD55CE"/>
    <w:rsid w:val="00DE2591"/>
    <w:rsid w:val="00DE60EE"/>
    <w:rsid w:val="00E16F06"/>
    <w:rsid w:val="00E715AC"/>
    <w:rsid w:val="00E90342"/>
    <w:rsid w:val="00EA44FF"/>
    <w:rsid w:val="00EB6BBB"/>
    <w:rsid w:val="00EC2E1D"/>
    <w:rsid w:val="00EC4893"/>
    <w:rsid w:val="00EC6BD6"/>
    <w:rsid w:val="00ED5258"/>
    <w:rsid w:val="00EE1DB7"/>
    <w:rsid w:val="00F13929"/>
    <w:rsid w:val="00F16675"/>
    <w:rsid w:val="00F17EC3"/>
    <w:rsid w:val="00F263BF"/>
    <w:rsid w:val="00F44EB5"/>
    <w:rsid w:val="00F456D9"/>
    <w:rsid w:val="00F509B9"/>
    <w:rsid w:val="00F67833"/>
    <w:rsid w:val="00F825EA"/>
    <w:rsid w:val="00FD2342"/>
    <w:rsid w:val="00FD3287"/>
    <w:rsid w:val="00FD4565"/>
    <w:rsid w:val="021DBC6B"/>
    <w:rsid w:val="03F4B3B5"/>
    <w:rsid w:val="0AE66172"/>
    <w:rsid w:val="0CBF9BDF"/>
    <w:rsid w:val="0D5A92BE"/>
    <w:rsid w:val="0F9E06D2"/>
    <w:rsid w:val="114129CC"/>
    <w:rsid w:val="124A0576"/>
    <w:rsid w:val="13D764C4"/>
    <w:rsid w:val="152B608D"/>
    <w:rsid w:val="163E499E"/>
    <w:rsid w:val="1C485666"/>
    <w:rsid w:val="1F4C4794"/>
    <w:rsid w:val="208390DE"/>
    <w:rsid w:val="25068B62"/>
    <w:rsid w:val="26F7B7BF"/>
    <w:rsid w:val="291D1470"/>
    <w:rsid w:val="2D8CE040"/>
    <w:rsid w:val="2DB8D002"/>
    <w:rsid w:val="2DF11EA7"/>
    <w:rsid w:val="384A1B19"/>
    <w:rsid w:val="3C6670CF"/>
    <w:rsid w:val="3D2246EB"/>
    <w:rsid w:val="3D890C76"/>
    <w:rsid w:val="3DF0911F"/>
    <w:rsid w:val="3E2988CD"/>
    <w:rsid w:val="4044DA8E"/>
    <w:rsid w:val="4052FB3C"/>
    <w:rsid w:val="426D147A"/>
    <w:rsid w:val="4363CEF6"/>
    <w:rsid w:val="455B1130"/>
    <w:rsid w:val="485070A8"/>
    <w:rsid w:val="51110A79"/>
    <w:rsid w:val="518E65F4"/>
    <w:rsid w:val="5346A97B"/>
    <w:rsid w:val="58A1AB6D"/>
    <w:rsid w:val="5A51E7E5"/>
    <w:rsid w:val="5C63CBB5"/>
    <w:rsid w:val="5DFF9C16"/>
    <w:rsid w:val="5F025C54"/>
    <w:rsid w:val="5F3D3B33"/>
    <w:rsid w:val="64190E20"/>
    <w:rsid w:val="657ACEF6"/>
    <w:rsid w:val="66AEFCC3"/>
    <w:rsid w:val="6A21E3BD"/>
    <w:rsid w:val="6B93393A"/>
    <w:rsid w:val="71D7F965"/>
    <w:rsid w:val="738127C4"/>
    <w:rsid w:val="73BBB657"/>
    <w:rsid w:val="79BFD8C5"/>
    <w:rsid w:val="7E2FA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9CB62"/>
  <w15:docId w15:val="{5F496412-5DCA-4C59-A8FF-FDCA6D13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F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0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1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F6A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E56D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56D8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F6783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263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3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3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3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3B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35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35BF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D5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c83373-036c-4be8-88a1-45845b3da92e">
      <Terms xmlns="http://schemas.microsoft.com/office/infopath/2007/PartnerControls"/>
    </lcf76f155ced4ddcb4097134ff3c332f>
    <TaxCatchAll xmlns="0371f3a5-1e65-4998-b00c-cc690458e90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E7F652C17DA44B21349796D3E7D30" ma:contentTypeVersion="16" ma:contentTypeDescription="Create a new document." ma:contentTypeScope="" ma:versionID="54b56d9297d7e220dc52d951985a2cbf">
  <xsd:schema xmlns:xsd="http://www.w3.org/2001/XMLSchema" xmlns:xs="http://www.w3.org/2001/XMLSchema" xmlns:p="http://schemas.microsoft.com/office/2006/metadata/properties" xmlns:ns2="03c83373-036c-4be8-88a1-45845b3da92e" xmlns:ns3="0371f3a5-1e65-4998-b00c-cc690458e90c" targetNamespace="http://schemas.microsoft.com/office/2006/metadata/properties" ma:root="true" ma:fieldsID="2a09d8b9cd0bc0a55a3155173533f259" ns2:_="" ns3:_="">
    <xsd:import namespace="03c83373-036c-4be8-88a1-45845b3da92e"/>
    <xsd:import namespace="0371f3a5-1e65-4998-b00c-cc690458e9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83373-036c-4be8-88a1-45845b3da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804c873-6043-4b2d-b278-6edfa3e2a9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f3a5-1e65-4998-b00c-cc690458e9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03f1cc-6683-4b18-9010-b53fc144ea12}" ma:internalName="TaxCatchAll" ma:showField="CatchAllData" ma:web="0371f3a5-1e65-4998-b00c-cc690458e9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1C2EA1-9EA7-4370-85BA-9AD104A41880}">
  <ds:schemaRefs>
    <ds:schemaRef ds:uri="http://schemas.microsoft.com/office/2006/metadata/properties"/>
    <ds:schemaRef ds:uri="http://schemas.microsoft.com/office/infopath/2007/PartnerControls"/>
    <ds:schemaRef ds:uri="03c83373-036c-4be8-88a1-45845b3da92e"/>
    <ds:schemaRef ds:uri="0371f3a5-1e65-4998-b00c-cc690458e90c"/>
  </ds:schemaRefs>
</ds:datastoreItem>
</file>

<file path=customXml/itemProps2.xml><?xml version="1.0" encoding="utf-8"?>
<ds:datastoreItem xmlns:ds="http://schemas.openxmlformats.org/officeDocument/2006/customXml" ds:itemID="{BE236CA3-BAE7-4F6F-AFB7-AE1D3BB127E0}"/>
</file>

<file path=customXml/itemProps3.xml><?xml version="1.0" encoding="utf-8"?>
<ds:datastoreItem xmlns:ds="http://schemas.openxmlformats.org/officeDocument/2006/customXml" ds:itemID="{D7C2C6F5-38CF-48DA-AC0A-0DCC1E4C46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Leach</dc:creator>
  <cp:lastModifiedBy>Centre Head Buxlow</cp:lastModifiedBy>
  <cp:revision>3</cp:revision>
  <cp:lastPrinted>2022-02-03T12:01:00Z</cp:lastPrinted>
  <dcterms:created xsi:type="dcterms:W3CDTF">2025-09-15T08:10:00Z</dcterms:created>
  <dcterms:modified xsi:type="dcterms:W3CDTF">2025-09-20T14:48:00Z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0x01010028BE7F652C17DA44B21349796D3E7D30</vt:lpwstr>
  </property>
  <property fmtid="{D5CDD505-2E9C-101B-9397-08002B2CF9AE}" pid="3" name="MediaServiceImageTags">
    <vt:lpwstr/>
  </property>
</Properties>
</file>